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90" w:rsidRPr="00727490" w:rsidRDefault="00727490" w:rsidP="00727490">
      <w:pPr>
        <w:tabs>
          <w:tab w:val="left" w:pos="7305"/>
        </w:tabs>
        <w:jc w:val="center"/>
        <w:rPr>
          <w:b/>
          <w:sz w:val="28"/>
          <w:szCs w:val="28"/>
          <w:lang w:val="kk-KZ"/>
        </w:rPr>
      </w:pPr>
      <w:r w:rsidRPr="00727490">
        <w:rPr>
          <w:b/>
          <w:sz w:val="28"/>
          <w:szCs w:val="28"/>
          <w:lang w:val="kk-KZ"/>
        </w:rPr>
        <w:t>Этапы приема в резидентуру</w:t>
      </w:r>
    </w:p>
    <w:p w:rsidR="00727490" w:rsidRPr="00727490" w:rsidRDefault="00727490" w:rsidP="00727490">
      <w:pPr>
        <w:tabs>
          <w:tab w:val="left" w:pos="7305"/>
        </w:tabs>
        <w:jc w:val="center"/>
        <w:rPr>
          <w:b/>
          <w:lang w:val="kk-KZ"/>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543"/>
        <w:gridCol w:w="3929"/>
        <w:gridCol w:w="2167"/>
      </w:tblGrid>
      <w:tr w:rsidR="00727490" w:rsidRPr="00727490" w:rsidTr="00727490">
        <w:tc>
          <w:tcPr>
            <w:tcW w:w="421" w:type="dxa"/>
            <w:shd w:val="clear" w:color="auto" w:fill="auto"/>
          </w:tcPr>
          <w:p w:rsidR="00727490" w:rsidRPr="00727490" w:rsidRDefault="00727490" w:rsidP="005454B8">
            <w:pPr>
              <w:tabs>
                <w:tab w:val="left" w:pos="7305"/>
              </w:tabs>
              <w:jc w:val="center"/>
              <w:rPr>
                <w:b/>
                <w:sz w:val="28"/>
                <w:szCs w:val="28"/>
                <w:lang w:val="kk-KZ"/>
              </w:rPr>
            </w:pPr>
            <w:r w:rsidRPr="00727490">
              <w:rPr>
                <w:b/>
                <w:sz w:val="28"/>
                <w:szCs w:val="28"/>
                <w:lang w:val="kk-KZ"/>
              </w:rPr>
              <w:t>№</w:t>
            </w:r>
          </w:p>
        </w:tc>
        <w:tc>
          <w:tcPr>
            <w:tcW w:w="3543" w:type="dxa"/>
            <w:shd w:val="clear" w:color="auto" w:fill="auto"/>
          </w:tcPr>
          <w:p w:rsidR="00727490" w:rsidRPr="00727490" w:rsidRDefault="00727490" w:rsidP="005454B8">
            <w:pPr>
              <w:tabs>
                <w:tab w:val="left" w:pos="7305"/>
              </w:tabs>
              <w:jc w:val="center"/>
              <w:rPr>
                <w:b/>
                <w:sz w:val="28"/>
                <w:szCs w:val="28"/>
                <w:lang w:val="kk-KZ"/>
              </w:rPr>
            </w:pPr>
            <w:r w:rsidRPr="00727490">
              <w:rPr>
                <w:b/>
                <w:sz w:val="28"/>
                <w:szCs w:val="28"/>
                <w:lang w:val="kk-KZ"/>
              </w:rPr>
              <w:t>Этапы</w:t>
            </w:r>
          </w:p>
        </w:tc>
        <w:tc>
          <w:tcPr>
            <w:tcW w:w="3929" w:type="dxa"/>
            <w:shd w:val="clear" w:color="auto" w:fill="auto"/>
          </w:tcPr>
          <w:p w:rsidR="00727490" w:rsidRPr="00727490" w:rsidRDefault="00727490" w:rsidP="005454B8">
            <w:pPr>
              <w:tabs>
                <w:tab w:val="left" w:pos="7305"/>
              </w:tabs>
              <w:jc w:val="center"/>
              <w:rPr>
                <w:b/>
                <w:sz w:val="28"/>
                <w:szCs w:val="28"/>
                <w:lang w:val="kk-KZ"/>
              </w:rPr>
            </w:pPr>
            <w:r w:rsidRPr="00727490">
              <w:rPr>
                <w:b/>
                <w:sz w:val="28"/>
                <w:szCs w:val="28"/>
                <w:lang w:val="kk-KZ"/>
              </w:rPr>
              <w:t>Пояснение</w:t>
            </w:r>
          </w:p>
        </w:tc>
        <w:tc>
          <w:tcPr>
            <w:tcW w:w="2167" w:type="dxa"/>
            <w:shd w:val="clear" w:color="auto" w:fill="auto"/>
          </w:tcPr>
          <w:p w:rsidR="00727490" w:rsidRPr="00727490" w:rsidRDefault="00727490" w:rsidP="005454B8">
            <w:pPr>
              <w:tabs>
                <w:tab w:val="left" w:pos="7305"/>
              </w:tabs>
              <w:jc w:val="center"/>
              <w:rPr>
                <w:b/>
                <w:sz w:val="28"/>
                <w:szCs w:val="28"/>
                <w:lang w:val="kk-KZ"/>
              </w:rPr>
            </w:pPr>
            <w:r w:rsidRPr="00727490">
              <w:rPr>
                <w:b/>
                <w:sz w:val="28"/>
                <w:szCs w:val="28"/>
                <w:lang w:val="kk-KZ"/>
              </w:rPr>
              <w:t>Примечание</w:t>
            </w:r>
          </w:p>
        </w:tc>
      </w:tr>
      <w:tr w:rsidR="00727490" w:rsidRPr="00727490" w:rsidTr="00727490">
        <w:tc>
          <w:tcPr>
            <w:tcW w:w="421" w:type="dxa"/>
            <w:shd w:val="clear" w:color="auto" w:fill="auto"/>
          </w:tcPr>
          <w:p w:rsidR="00727490" w:rsidRPr="00727490" w:rsidRDefault="00727490" w:rsidP="005454B8">
            <w:pPr>
              <w:tabs>
                <w:tab w:val="left" w:pos="7305"/>
              </w:tabs>
              <w:jc w:val="right"/>
              <w:rPr>
                <w:sz w:val="28"/>
                <w:szCs w:val="28"/>
                <w:lang w:val="kk-KZ"/>
              </w:rPr>
            </w:pPr>
            <w:r w:rsidRPr="00727490">
              <w:rPr>
                <w:sz w:val="28"/>
                <w:szCs w:val="28"/>
                <w:lang w:val="kk-KZ"/>
              </w:rPr>
              <w:t>1</w:t>
            </w:r>
          </w:p>
        </w:tc>
        <w:tc>
          <w:tcPr>
            <w:tcW w:w="3543" w:type="dxa"/>
            <w:shd w:val="clear" w:color="auto" w:fill="auto"/>
            <w:vAlign w:val="center"/>
          </w:tcPr>
          <w:p w:rsidR="00727490" w:rsidRDefault="00727490" w:rsidP="005454B8">
            <w:pPr>
              <w:pStyle w:val="a5"/>
              <w:spacing w:before="0" w:beforeAutospacing="0" w:after="0" w:afterAutospacing="0"/>
              <w:jc w:val="center"/>
              <w:rPr>
                <w:bCs/>
                <w:kern w:val="24"/>
                <w:sz w:val="28"/>
                <w:szCs w:val="28"/>
                <w:lang w:val="ru-RU"/>
              </w:rPr>
            </w:pPr>
            <w:r w:rsidRPr="00727490">
              <w:rPr>
                <w:bCs/>
                <w:kern w:val="24"/>
                <w:sz w:val="28"/>
                <w:szCs w:val="28"/>
              </w:rPr>
              <w:t>I</w:t>
            </w:r>
            <w:r w:rsidRPr="00727490">
              <w:rPr>
                <w:bCs/>
                <w:kern w:val="24"/>
                <w:sz w:val="28"/>
                <w:szCs w:val="28"/>
                <w:lang w:val="ru-RU"/>
              </w:rPr>
              <w:t xml:space="preserve"> этап </w:t>
            </w:r>
            <w:r>
              <w:rPr>
                <w:bCs/>
                <w:kern w:val="24"/>
                <w:sz w:val="28"/>
                <w:szCs w:val="28"/>
                <w:lang w:val="ru-RU"/>
              </w:rPr>
              <w:t>–</w:t>
            </w:r>
            <w:r w:rsidRPr="00727490">
              <w:rPr>
                <w:bCs/>
                <w:kern w:val="24"/>
                <w:sz w:val="28"/>
                <w:szCs w:val="28"/>
                <w:lang w:val="ru-RU"/>
              </w:rPr>
              <w:t xml:space="preserve"> </w:t>
            </w:r>
          </w:p>
          <w:p w:rsidR="00727490" w:rsidRPr="00727490" w:rsidRDefault="00727490" w:rsidP="005454B8">
            <w:pPr>
              <w:pStyle w:val="a5"/>
              <w:spacing w:before="0" w:beforeAutospacing="0" w:after="0" w:afterAutospacing="0"/>
              <w:jc w:val="center"/>
              <w:rPr>
                <w:sz w:val="28"/>
                <w:szCs w:val="28"/>
                <w:lang w:val="en-US" w:eastAsia="en-US"/>
              </w:rPr>
            </w:pPr>
            <w:r w:rsidRPr="00727490">
              <w:rPr>
                <w:bCs/>
                <w:kern w:val="24"/>
                <w:sz w:val="28"/>
                <w:szCs w:val="28"/>
                <w:lang w:val="ru-RU"/>
              </w:rPr>
              <w:t>Прием документов</w:t>
            </w:r>
          </w:p>
        </w:tc>
        <w:tc>
          <w:tcPr>
            <w:tcW w:w="3929" w:type="dxa"/>
            <w:shd w:val="clear" w:color="auto" w:fill="auto"/>
            <w:vAlign w:val="center"/>
          </w:tcPr>
          <w:p w:rsidR="00727490" w:rsidRPr="00727490" w:rsidRDefault="00727490" w:rsidP="00727490">
            <w:pPr>
              <w:pStyle w:val="a3"/>
              <w:numPr>
                <w:ilvl w:val="0"/>
                <w:numId w:val="1"/>
              </w:numPr>
              <w:ind w:left="239"/>
              <w:contextualSpacing/>
              <w:rPr>
                <w:bCs/>
                <w:kern w:val="24"/>
                <w:sz w:val="28"/>
                <w:szCs w:val="28"/>
                <w:lang w:val="ru-RU"/>
              </w:rPr>
            </w:pPr>
            <w:r w:rsidRPr="00727490">
              <w:rPr>
                <w:bCs/>
                <w:kern w:val="24"/>
                <w:sz w:val="28"/>
                <w:szCs w:val="28"/>
                <w:lang w:val="ru-RU"/>
              </w:rPr>
              <w:t>Сроки приема документов - 3 - 25 июля</w:t>
            </w:r>
          </w:p>
          <w:p w:rsidR="00727490" w:rsidRPr="00727490" w:rsidRDefault="00727490" w:rsidP="00727490">
            <w:pPr>
              <w:pStyle w:val="a3"/>
              <w:numPr>
                <w:ilvl w:val="0"/>
                <w:numId w:val="1"/>
              </w:numPr>
              <w:ind w:left="239"/>
              <w:contextualSpacing/>
              <w:rPr>
                <w:bCs/>
                <w:kern w:val="24"/>
                <w:sz w:val="28"/>
                <w:szCs w:val="28"/>
                <w:lang w:val="ru-RU"/>
              </w:rPr>
            </w:pPr>
            <w:r w:rsidRPr="00727490">
              <w:rPr>
                <w:bCs/>
                <w:kern w:val="24"/>
                <w:sz w:val="28"/>
                <w:szCs w:val="28"/>
                <w:lang w:val="ru-RU"/>
              </w:rPr>
              <w:t>Претендент указывает 1 основную и 1 альтернативную специальность</w:t>
            </w:r>
          </w:p>
          <w:p w:rsidR="00727490" w:rsidRPr="00727490" w:rsidRDefault="00727490" w:rsidP="005454B8">
            <w:pPr>
              <w:pStyle w:val="a5"/>
              <w:spacing w:before="0" w:beforeAutospacing="0" w:after="0" w:afterAutospacing="0"/>
            </w:pPr>
          </w:p>
        </w:tc>
        <w:tc>
          <w:tcPr>
            <w:tcW w:w="2167" w:type="dxa"/>
            <w:shd w:val="clear" w:color="auto" w:fill="auto"/>
          </w:tcPr>
          <w:p w:rsidR="00727490" w:rsidRPr="00727490" w:rsidRDefault="00727490" w:rsidP="00727490">
            <w:pPr>
              <w:pStyle w:val="a5"/>
              <w:spacing w:before="0" w:beforeAutospacing="0" w:after="0" w:afterAutospacing="0"/>
              <w:jc w:val="both"/>
              <w:rPr>
                <w:sz w:val="28"/>
                <w:szCs w:val="28"/>
                <w:lang w:val="ru-RU"/>
              </w:rPr>
            </w:pPr>
            <w:r w:rsidRPr="00727490">
              <w:rPr>
                <w:bCs/>
                <w:kern w:val="24"/>
                <w:sz w:val="28"/>
                <w:szCs w:val="28"/>
                <w:lang w:val="ru-RU"/>
              </w:rPr>
              <w:t>Претендент указывает регион, где будет проводить отработку по основной и альтернативной специальности</w:t>
            </w:r>
          </w:p>
        </w:tc>
      </w:tr>
      <w:tr w:rsidR="00727490" w:rsidRPr="00727490" w:rsidTr="00727490">
        <w:trPr>
          <w:trHeight w:val="1308"/>
        </w:trPr>
        <w:tc>
          <w:tcPr>
            <w:tcW w:w="421" w:type="dxa"/>
            <w:shd w:val="clear" w:color="auto" w:fill="auto"/>
          </w:tcPr>
          <w:p w:rsidR="00727490" w:rsidRPr="00727490" w:rsidRDefault="00727490" w:rsidP="005454B8">
            <w:pPr>
              <w:tabs>
                <w:tab w:val="left" w:pos="7305"/>
              </w:tabs>
              <w:jc w:val="right"/>
              <w:rPr>
                <w:sz w:val="28"/>
                <w:szCs w:val="28"/>
                <w:lang w:val="kk-KZ"/>
              </w:rPr>
            </w:pPr>
            <w:r w:rsidRPr="00727490">
              <w:rPr>
                <w:sz w:val="28"/>
                <w:szCs w:val="28"/>
                <w:lang w:val="kk-KZ"/>
              </w:rPr>
              <w:t>2</w:t>
            </w:r>
          </w:p>
        </w:tc>
        <w:tc>
          <w:tcPr>
            <w:tcW w:w="3543" w:type="dxa"/>
            <w:shd w:val="clear" w:color="auto" w:fill="auto"/>
            <w:vAlign w:val="center"/>
          </w:tcPr>
          <w:p w:rsidR="00727490" w:rsidRPr="00727490" w:rsidRDefault="00727490" w:rsidP="005454B8">
            <w:pPr>
              <w:pStyle w:val="a5"/>
              <w:spacing w:before="0" w:beforeAutospacing="0" w:after="0" w:afterAutospacing="0"/>
              <w:jc w:val="center"/>
              <w:textAlignment w:val="center"/>
              <w:rPr>
                <w:sz w:val="28"/>
                <w:szCs w:val="28"/>
              </w:rPr>
            </w:pPr>
            <w:r w:rsidRPr="00727490">
              <w:rPr>
                <w:bCs/>
                <w:kern w:val="24"/>
                <w:sz w:val="28"/>
                <w:szCs w:val="28"/>
              </w:rPr>
              <w:t>II</w:t>
            </w:r>
            <w:r w:rsidRPr="00727490">
              <w:rPr>
                <w:bCs/>
                <w:kern w:val="24"/>
                <w:sz w:val="28"/>
                <w:szCs w:val="28"/>
                <w:lang w:val="ru-RU"/>
              </w:rPr>
              <w:t xml:space="preserve"> этап –                     вступительный экзамен</w:t>
            </w:r>
          </w:p>
        </w:tc>
        <w:tc>
          <w:tcPr>
            <w:tcW w:w="3929" w:type="dxa"/>
            <w:shd w:val="clear" w:color="auto" w:fill="auto"/>
            <w:vAlign w:val="center"/>
          </w:tcPr>
          <w:p w:rsidR="00727490" w:rsidRPr="00727490" w:rsidRDefault="00727490" w:rsidP="00727490">
            <w:pPr>
              <w:pStyle w:val="a3"/>
              <w:numPr>
                <w:ilvl w:val="0"/>
                <w:numId w:val="2"/>
              </w:numPr>
              <w:ind w:left="389"/>
              <w:contextualSpacing/>
              <w:jc w:val="both"/>
              <w:rPr>
                <w:sz w:val="28"/>
                <w:szCs w:val="28"/>
              </w:rPr>
            </w:pPr>
            <w:r w:rsidRPr="00727490">
              <w:rPr>
                <w:bCs/>
                <w:kern w:val="24"/>
                <w:sz w:val="28"/>
                <w:szCs w:val="28"/>
                <w:lang w:val="ru-RU"/>
              </w:rPr>
              <w:t>Проведение вступительного экзамена – 8 – 16 августа</w:t>
            </w:r>
          </w:p>
          <w:p w:rsidR="00727490" w:rsidRDefault="00727490" w:rsidP="00727490">
            <w:pPr>
              <w:pStyle w:val="a5"/>
              <w:spacing w:before="0" w:beforeAutospacing="0" w:after="0" w:afterAutospacing="0"/>
              <w:ind w:left="170"/>
              <w:jc w:val="both"/>
              <w:rPr>
                <w:kern w:val="24"/>
                <w:sz w:val="28"/>
                <w:szCs w:val="28"/>
                <w:lang w:val="kk-KZ"/>
              </w:rPr>
            </w:pPr>
            <w:r>
              <w:rPr>
                <w:kern w:val="24"/>
                <w:sz w:val="28"/>
                <w:szCs w:val="28"/>
                <w:lang w:val="kk-KZ"/>
              </w:rPr>
              <w:t xml:space="preserve">   </w:t>
            </w:r>
            <w:r w:rsidRPr="00727490">
              <w:rPr>
                <w:kern w:val="24"/>
                <w:sz w:val="28"/>
                <w:szCs w:val="28"/>
                <w:lang w:val="kk-KZ"/>
              </w:rPr>
              <w:t>по основной и</w:t>
            </w:r>
          </w:p>
          <w:p w:rsidR="00727490" w:rsidRPr="00727490" w:rsidRDefault="00727490" w:rsidP="00727490">
            <w:pPr>
              <w:pStyle w:val="a5"/>
              <w:spacing w:before="0" w:beforeAutospacing="0" w:after="0" w:afterAutospacing="0"/>
              <w:ind w:left="170"/>
              <w:jc w:val="both"/>
              <w:rPr>
                <w:kern w:val="24"/>
                <w:sz w:val="28"/>
                <w:szCs w:val="28"/>
                <w:lang w:val="kk-KZ"/>
              </w:rPr>
            </w:pPr>
            <w:r>
              <w:rPr>
                <w:kern w:val="24"/>
                <w:sz w:val="28"/>
                <w:szCs w:val="28"/>
                <w:lang w:val="kk-KZ"/>
              </w:rPr>
              <w:t xml:space="preserve">  </w:t>
            </w:r>
            <w:r w:rsidRPr="00727490">
              <w:rPr>
                <w:kern w:val="24"/>
                <w:sz w:val="28"/>
                <w:szCs w:val="28"/>
                <w:lang w:val="kk-KZ"/>
              </w:rPr>
              <w:t xml:space="preserve"> альтернативной</w:t>
            </w:r>
          </w:p>
          <w:p w:rsidR="00727490" w:rsidRPr="00727490" w:rsidRDefault="00727490" w:rsidP="00727490">
            <w:pPr>
              <w:pStyle w:val="a5"/>
              <w:spacing w:before="0" w:beforeAutospacing="0" w:after="0" w:afterAutospacing="0"/>
              <w:ind w:left="-57"/>
              <w:jc w:val="both"/>
            </w:pPr>
            <w:r w:rsidRPr="00727490">
              <w:rPr>
                <w:kern w:val="24"/>
                <w:sz w:val="28"/>
                <w:szCs w:val="28"/>
                <w:lang w:val="kk-KZ"/>
              </w:rPr>
              <w:t xml:space="preserve">     специальностям</w:t>
            </w:r>
          </w:p>
        </w:tc>
        <w:tc>
          <w:tcPr>
            <w:tcW w:w="2167" w:type="dxa"/>
            <w:shd w:val="clear" w:color="auto" w:fill="auto"/>
          </w:tcPr>
          <w:p w:rsidR="00727490" w:rsidRPr="00727490" w:rsidRDefault="00727490" w:rsidP="00727490">
            <w:pPr>
              <w:tabs>
                <w:tab w:val="left" w:pos="7305"/>
              </w:tabs>
              <w:jc w:val="both"/>
              <w:rPr>
                <w:sz w:val="28"/>
                <w:szCs w:val="28"/>
                <w:lang w:val="kk-KZ"/>
              </w:rPr>
            </w:pPr>
            <w:r w:rsidRPr="00727490">
              <w:rPr>
                <w:sz w:val="28"/>
                <w:szCs w:val="28"/>
                <w:lang w:val="kk-KZ"/>
              </w:rPr>
              <w:t>График будет представлен на сайте и в стенде приемной комиссии</w:t>
            </w:r>
          </w:p>
        </w:tc>
      </w:tr>
      <w:tr w:rsidR="00727490" w:rsidRPr="00727490" w:rsidTr="00727490">
        <w:tc>
          <w:tcPr>
            <w:tcW w:w="421" w:type="dxa"/>
            <w:shd w:val="clear" w:color="auto" w:fill="auto"/>
          </w:tcPr>
          <w:p w:rsidR="00727490" w:rsidRPr="00727490" w:rsidRDefault="00727490" w:rsidP="005454B8">
            <w:pPr>
              <w:tabs>
                <w:tab w:val="left" w:pos="7305"/>
              </w:tabs>
              <w:jc w:val="right"/>
              <w:rPr>
                <w:sz w:val="28"/>
                <w:szCs w:val="28"/>
                <w:lang w:val="kk-KZ"/>
              </w:rPr>
            </w:pPr>
            <w:r w:rsidRPr="00727490">
              <w:rPr>
                <w:sz w:val="28"/>
                <w:szCs w:val="28"/>
                <w:lang w:val="kk-KZ"/>
              </w:rPr>
              <w:t>3</w:t>
            </w:r>
          </w:p>
        </w:tc>
        <w:tc>
          <w:tcPr>
            <w:tcW w:w="3543" w:type="dxa"/>
            <w:shd w:val="clear" w:color="auto" w:fill="auto"/>
            <w:vAlign w:val="center"/>
          </w:tcPr>
          <w:p w:rsidR="00727490" w:rsidRPr="00727490" w:rsidRDefault="00727490" w:rsidP="005454B8">
            <w:pPr>
              <w:pStyle w:val="a5"/>
              <w:spacing w:before="0" w:beforeAutospacing="0" w:after="0" w:afterAutospacing="0"/>
              <w:ind w:left="1699" w:hanging="1699"/>
              <w:jc w:val="center"/>
              <w:textAlignment w:val="center"/>
              <w:rPr>
                <w:bCs/>
                <w:kern w:val="24"/>
                <w:sz w:val="28"/>
                <w:szCs w:val="28"/>
                <w:lang w:val="ru-RU"/>
              </w:rPr>
            </w:pPr>
            <w:r w:rsidRPr="00727490">
              <w:rPr>
                <w:bCs/>
                <w:kern w:val="24"/>
                <w:sz w:val="28"/>
                <w:szCs w:val="28"/>
              </w:rPr>
              <w:t>III</w:t>
            </w:r>
            <w:r w:rsidRPr="00727490">
              <w:rPr>
                <w:bCs/>
                <w:kern w:val="24"/>
                <w:sz w:val="28"/>
                <w:szCs w:val="28"/>
                <w:lang w:val="ru-RU"/>
              </w:rPr>
              <w:t xml:space="preserve"> этап – </w:t>
            </w:r>
          </w:p>
          <w:p w:rsidR="00727490" w:rsidRPr="00727490" w:rsidRDefault="00727490" w:rsidP="005454B8">
            <w:pPr>
              <w:pStyle w:val="a5"/>
              <w:spacing w:before="0" w:beforeAutospacing="0" w:after="0" w:afterAutospacing="0"/>
              <w:ind w:left="1699" w:hanging="1699"/>
              <w:jc w:val="center"/>
              <w:textAlignment w:val="center"/>
              <w:rPr>
                <w:sz w:val="28"/>
                <w:szCs w:val="28"/>
              </w:rPr>
            </w:pPr>
            <w:r w:rsidRPr="00727490">
              <w:rPr>
                <w:bCs/>
                <w:kern w:val="24"/>
                <w:sz w:val="28"/>
                <w:szCs w:val="28"/>
                <w:lang w:val="ru-RU"/>
              </w:rPr>
              <w:t>Конкурс на обучение</w:t>
            </w:r>
          </w:p>
          <w:p w:rsidR="00727490" w:rsidRPr="00727490" w:rsidRDefault="00727490" w:rsidP="005454B8">
            <w:pPr>
              <w:pStyle w:val="a5"/>
              <w:spacing w:before="0" w:beforeAutospacing="0" w:after="0" w:afterAutospacing="0"/>
              <w:ind w:left="1699" w:hanging="1699"/>
              <w:jc w:val="center"/>
              <w:textAlignment w:val="center"/>
              <w:rPr>
                <w:sz w:val="28"/>
                <w:szCs w:val="28"/>
              </w:rPr>
            </w:pPr>
            <w:r w:rsidRPr="00727490">
              <w:rPr>
                <w:bCs/>
                <w:kern w:val="24"/>
                <w:sz w:val="28"/>
                <w:szCs w:val="28"/>
                <w:lang w:val="ru-RU"/>
              </w:rPr>
              <w:t>по</w:t>
            </w:r>
            <w:r w:rsidRPr="00727490">
              <w:rPr>
                <w:bCs/>
                <w:kern w:val="24"/>
                <w:sz w:val="28"/>
                <w:szCs w:val="28"/>
              </w:rPr>
              <w:t xml:space="preserve"> </w:t>
            </w:r>
            <w:r w:rsidRPr="00727490">
              <w:rPr>
                <w:bCs/>
                <w:kern w:val="24"/>
                <w:sz w:val="28"/>
                <w:szCs w:val="28"/>
                <w:lang w:val="ru-RU"/>
              </w:rPr>
              <w:t>государственному</w:t>
            </w:r>
          </w:p>
          <w:p w:rsidR="00727490" w:rsidRPr="00727490" w:rsidRDefault="00727490" w:rsidP="005454B8">
            <w:pPr>
              <w:pStyle w:val="a5"/>
              <w:spacing w:before="0" w:beforeAutospacing="0" w:after="0" w:afterAutospacing="0"/>
              <w:ind w:left="1699" w:hanging="1699"/>
              <w:jc w:val="center"/>
              <w:textAlignment w:val="center"/>
              <w:rPr>
                <w:sz w:val="28"/>
                <w:szCs w:val="28"/>
              </w:rPr>
            </w:pPr>
            <w:r w:rsidRPr="00727490">
              <w:rPr>
                <w:bCs/>
                <w:kern w:val="24"/>
                <w:sz w:val="28"/>
                <w:szCs w:val="28"/>
                <w:lang w:val="ru-RU"/>
              </w:rPr>
              <w:t>образовательному</w:t>
            </w:r>
          </w:p>
          <w:p w:rsidR="00727490" w:rsidRPr="00727490" w:rsidRDefault="00727490" w:rsidP="005454B8">
            <w:pPr>
              <w:pStyle w:val="a5"/>
              <w:spacing w:before="0" w:beforeAutospacing="0" w:after="0" w:afterAutospacing="0"/>
              <w:ind w:left="1699" w:hanging="1699"/>
              <w:jc w:val="center"/>
              <w:textAlignment w:val="center"/>
              <w:rPr>
                <w:sz w:val="28"/>
                <w:szCs w:val="28"/>
              </w:rPr>
            </w:pPr>
            <w:r w:rsidRPr="00727490">
              <w:rPr>
                <w:bCs/>
                <w:kern w:val="24"/>
                <w:sz w:val="28"/>
                <w:szCs w:val="28"/>
                <w:lang w:val="ru-RU"/>
              </w:rPr>
              <w:t>заказу</w:t>
            </w:r>
          </w:p>
        </w:tc>
        <w:tc>
          <w:tcPr>
            <w:tcW w:w="3929" w:type="dxa"/>
            <w:shd w:val="clear" w:color="auto" w:fill="auto"/>
            <w:vAlign w:val="center"/>
          </w:tcPr>
          <w:p w:rsidR="00727490" w:rsidRPr="00727490" w:rsidRDefault="00727490" w:rsidP="00727490">
            <w:pPr>
              <w:pStyle w:val="a3"/>
              <w:numPr>
                <w:ilvl w:val="0"/>
                <w:numId w:val="2"/>
              </w:numPr>
              <w:ind w:left="239"/>
              <w:contextualSpacing/>
              <w:jc w:val="both"/>
              <w:textAlignment w:val="center"/>
              <w:rPr>
                <w:sz w:val="28"/>
                <w:szCs w:val="28"/>
              </w:rPr>
            </w:pPr>
            <w:r w:rsidRPr="00727490">
              <w:rPr>
                <w:bCs/>
                <w:kern w:val="24"/>
                <w:sz w:val="28"/>
                <w:szCs w:val="28"/>
                <w:lang w:val="ru-RU"/>
              </w:rPr>
              <w:t>Пороговый балл для участия в конкурсе за счет средств Республиканского бюджета и МИО – 75 баллов.</w:t>
            </w:r>
          </w:p>
          <w:p w:rsidR="00727490" w:rsidRPr="00727490" w:rsidRDefault="00727490" w:rsidP="00727490">
            <w:pPr>
              <w:pStyle w:val="a3"/>
              <w:numPr>
                <w:ilvl w:val="0"/>
                <w:numId w:val="2"/>
              </w:numPr>
              <w:ind w:left="239"/>
              <w:contextualSpacing/>
              <w:jc w:val="both"/>
              <w:textAlignment w:val="center"/>
              <w:rPr>
                <w:sz w:val="28"/>
                <w:szCs w:val="28"/>
              </w:rPr>
            </w:pPr>
            <w:r w:rsidRPr="00727490">
              <w:rPr>
                <w:kern w:val="24"/>
                <w:sz w:val="28"/>
                <w:szCs w:val="28"/>
                <w:lang w:val="ru-RU"/>
              </w:rPr>
              <w:t>На первом этапе проводится конкурс по основным ОП.</w:t>
            </w:r>
          </w:p>
          <w:p w:rsidR="00727490" w:rsidRPr="00727490" w:rsidRDefault="00727490" w:rsidP="00727490">
            <w:pPr>
              <w:pStyle w:val="a3"/>
              <w:numPr>
                <w:ilvl w:val="0"/>
                <w:numId w:val="2"/>
              </w:numPr>
              <w:ind w:left="239"/>
              <w:contextualSpacing/>
              <w:jc w:val="both"/>
              <w:textAlignment w:val="center"/>
              <w:rPr>
                <w:sz w:val="28"/>
                <w:szCs w:val="28"/>
              </w:rPr>
            </w:pPr>
            <w:r w:rsidRPr="00727490">
              <w:rPr>
                <w:kern w:val="24"/>
                <w:sz w:val="28"/>
                <w:szCs w:val="28"/>
                <w:lang w:val="ru-RU"/>
              </w:rPr>
              <w:t xml:space="preserve">На втором этапе при наличии вакантных мест, оставшихся после проведения конкурса по основным ОП, проводится конкурс по альтернативным ОП для претендентов, не прошедших по конкурсу по основной ОП. При этом претенденты, прошедшие по конкурсу по основной ОП, не участвуют в конкурсе по альтернативной специальности. </w:t>
            </w:r>
          </w:p>
          <w:p w:rsidR="00727490" w:rsidRPr="00727490" w:rsidRDefault="00727490" w:rsidP="00727490">
            <w:pPr>
              <w:pStyle w:val="a3"/>
              <w:numPr>
                <w:ilvl w:val="0"/>
                <w:numId w:val="2"/>
              </w:numPr>
              <w:ind w:left="239"/>
              <w:contextualSpacing/>
              <w:jc w:val="both"/>
              <w:textAlignment w:val="center"/>
              <w:rPr>
                <w:sz w:val="28"/>
                <w:szCs w:val="28"/>
              </w:rPr>
            </w:pPr>
            <w:r w:rsidRPr="00727490">
              <w:rPr>
                <w:bCs/>
                <w:kern w:val="24"/>
                <w:sz w:val="28"/>
                <w:szCs w:val="28"/>
                <w:lang w:val="ru-RU"/>
              </w:rPr>
              <w:t>Прием документов на конкурс за счет средств МИО - до 25 августа</w:t>
            </w:r>
          </w:p>
        </w:tc>
        <w:tc>
          <w:tcPr>
            <w:tcW w:w="2167" w:type="dxa"/>
            <w:shd w:val="clear" w:color="auto" w:fill="auto"/>
          </w:tcPr>
          <w:p w:rsidR="00727490" w:rsidRPr="00727490" w:rsidRDefault="00727490" w:rsidP="005454B8">
            <w:pPr>
              <w:tabs>
                <w:tab w:val="left" w:pos="7305"/>
              </w:tabs>
              <w:jc w:val="right"/>
              <w:rPr>
                <w:sz w:val="28"/>
                <w:szCs w:val="28"/>
                <w:lang w:val="kk-KZ"/>
              </w:rPr>
            </w:pPr>
            <w:bookmarkStart w:id="0" w:name="_GoBack"/>
            <w:bookmarkEnd w:id="0"/>
          </w:p>
        </w:tc>
      </w:tr>
      <w:tr w:rsidR="00727490" w:rsidRPr="00727490" w:rsidTr="00727490">
        <w:tc>
          <w:tcPr>
            <w:tcW w:w="421" w:type="dxa"/>
            <w:shd w:val="clear" w:color="auto" w:fill="auto"/>
          </w:tcPr>
          <w:p w:rsidR="00727490" w:rsidRPr="00727490" w:rsidRDefault="00727490" w:rsidP="005454B8">
            <w:pPr>
              <w:tabs>
                <w:tab w:val="left" w:pos="7305"/>
              </w:tabs>
              <w:jc w:val="right"/>
              <w:rPr>
                <w:sz w:val="28"/>
                <w:szCs w:val="28"/>
                <w:lang w:val="kk-KZ"/>
              </w:rPr>
            </w:pPr>
            <w:r w:rsidRPr="00727490">
              <w:rPr>
                <w:sz w:val="28"/>
                <w:szCs w:val="28"/>
                <w:lang w:val="kk-KZ"/>
              </w:rPr>
              <w:t>4</w:t>
            </w:r>
          </w:p>
        </w:tc>
        <w:tc>
          <w:tcPr>
            <w:tcW w:w="3543" w:type="dxa"/>
            <w:shd w:val="clear" w:color="auto" w:fill="auto"/>
            <w:vAlign w:val="center"/>
          </w:tcPr>
          <w:p w:rsidR="00727490" w:rsidRPr="00727490" w:rsidRDefault="00727490" w:rsidP="005454B8">
            <w:pPr>
              <w:pStyle w:val="a5"/>
              <w:spacing w:before="0" w:beforeAutospacing="0" w:after="0" w:afterAutospacing="0"/>
              <w:jc w:val="center"/>
              <w:textAlignment w:val="center"/>
              <w:rPr>
                <w:sz w:val="28"/>
                <w:szCs w:val="28"/>
              </w:rPr>
            </w:pPr>
            <w:r w:rsidRPr="00727490">
              <w:rPr>
                <w:bCs/>
                <w:kern w:val="24"/>
                <w:sz w:val="28"/>
                <w:szCs w:val="28"/>
              </w:rPr>
              <w:t>IV</w:t>
            </w:r>
            <w:r w:rsidRPr="00727490">
              <w:rPr>
                <w:bCs/>
                <w:kern w:val="24"/>
                <w:sz w:val="28"/>
                <w:szCs w:val="28"/>
                <w:lang w:val="ru-RU"/>
              </w:rPr>
              <w:t xml:space="preserve"> этап – Зачисление</w:t>
            </w:r>
          </w:p>
        </w:tc>
        <w:tc>
          <w:tcPr>
            <w:tcW w:w="3929" w:type="dxa"/>
            <w:shd w:val="clear" w:color="auto" w:fill="auto"/>
            <w:vAlign w:val="center"/>
          </w:tcPr>
          <w:p w:rsidR="00727490" w:rsidRPr="00727490" w:rsidRDefault="00727490" w:rsidP="00727490">
            <w:pPr>
              <w:pStyle w:val="a3"/>
              <w:numPr>
                <w:ilvl w:val="0"/>
                <w:numId w:val="3"/>
              </w:numPr>
              <w:ind w:left="239"/>
              <w:contextualSpacing/>
              <w:textAlignment w:val="center"/>
              <w:rPr>
                <w:sz w:val="28"/>
                <w:szCs w:val="28"/>
              </w:rPr>
            </w:pPr>
            <w:r w:rsidRPr="00727490">
              <w:rPr>
                <w:bCs/>
                <w:kern w:val="24"/>
                <w:sz w:val="28"/>
                <w:szCs w:val="28"/>
                <w:lang w:val="ru-RU"/>
              </w:rPr>
              <w:t>до 28 августа</w:t>
            </w:r>
          </w:p>
        </w:tc>
        <w:tc>
          <w:tcPr>
            <w:tcW w:w="2167" w:type="dxa"/>
            <w:shd w:val="clear" w:color="auto" w:fill="auto"/>
          </w:tcPr>
          <w:p w:rsidR="00727490" w:rsidRPr="00727490" w:rsidRDefault="00727490" w:rsidP="005454B8">
            <w:pPr>
              <w:tabs>
                <w:tab w:val="left" w:pos="7305"/>
              </w:tabs>
              <w:jc w:val="right"/>
              <w:rPr>
                <w:sz w:val="28"/>
                <w:szCs w:val="28"/>
                <w:lang w:val="kk-KZ"/>
              </w:rPr>
            </w:pPr>
          </w:p>
        </w:tc>
      </w:tr>
    </w:tbl>
    <w:p w:rsidR="004B1C27" w:rsidRPr="00727490" w:rsidRDefault="004B1C27">
      <w:pPr>
        <w:rPr>
          <w:sz w:val="28"/>
          <w:szCs w:val="28"/>
        </w:rPr>
      </w:pPr>
    </w:p>
    <w:sectPr w:rsidR="004B1C27" w:rsidRPr="0072749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8923"/>
      </v:shape>
    </w:pict>
  </w:numPicBullet>
  <w:abstractNum w:abstractNumId="0" w15:restartNumberingAfterBreak="0">
    <w:nsid w:val="2814423C"/>
    <w:multiLevelType w:val="hybridMultilevel"/>
    <w:tmpl w:val="58AC2F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C7761"/>
    <w:multiLevelType w:val="hybridMultilevel"/>
    <w:tmpl w:val="34342872"/>
    <w:lvl w:ilvl="0" w:tplc="04090007">
      <w:start w:val="1"/>
      <w:numFmt w:val="bullet"/>
      <w:lvlText w:val=""/>
      <w:lvlPicBulletId w:val="0"/>
      <w:lvlJc w:val="left"/>
      <w:pPr>
        <w:ind w:left="570" w:hanging="360"/>
      </w:pPr>
      <w:rPr>
        <w:rFonts w:ascii="Symbol" w:hAnsi="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15:restartNumberingAfterBreak="0">
    <w:nsid w:val="7DF45774"/>
    <w:multiLevelType w:val="hybridMultilevel"/>
    <w:tmpl w:val="3FD2A7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3A"/>
    <w:rsid w:val="004B1C27"/>
    <w:rsid w:val="005A683A"/>
    <w:rsid w:val="0072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2BEA"/>
  <w15:chartTrackingRefBased/>
  <w15:docId w15:val="{184F5ADA-9F3E-4C40-85C2-7A209073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4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uiPriority w:val="34"/>
    <w:qFormat/>
    <w:rsid w:val="00727490"/>
    <w:pPr>
      <w:ind w:left="708"/>
    </w:pPr>
    <w:rPr>
      <w:lang w:val="x-none" w:eastAsia="x-non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Знак Знак1 Зн"/>
    <w:basedOn w:val="a"/>
    <w:next w:val="a6"/>
    <w:link w:val="a7"/>
    <w:uiPriority w:val="99"/>
    <w:unhideWhenUsed/>
    <w:qFormat/>
    <w:rsid w:val="00727490"/>
    <w:pPr>
      <w:spacing w:before="100" w:beforeAutospacing="1" w:after="100" w:afterAutospacing="1"/>
    </w:pPr>
    <w:rPr>
      <w:lang w:val="x-none" w:eastAsia="x-none"/>
    </w:r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locked/>
    <w:rsid w:val="00727490"/>
    <w:rPr>
      <w:rFonts w:ascii="Times New Roman" w:eastAsia="Times New Roman" w:hAnsi="Times New Roman" w:cs="Times New Roman"/>
      <w:sz w:val="24"/>
      <w:szCs w:val="24"/>
      <w:lang w:val="x-none" w:eastAsia="x-none"/>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uiPriority w:val="99"/>
    <w:locked/>
    <w:rsid w:val="00727490"/>
    <w:rPr>
      <w:sz w:val="24"/>
      <w:szCs w:val="24"/>
    </w:rPr>
  </w:style>
  <w:style w:type="paragraph" w:styleId="a6">
    <w:name w:val="Normal (Web)"/>
    <w:basedOn w:val="a"/>
    <w:uiPriority w:val="99"/>
    <w:semiHidden/>
    <w:unhideWhenUsed/>
    <w:rsid w:val="0072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2024-07-11T12:05:00Z</dcterms:created>
  <dcterms:modified xsi:type="dcterms:W3CDTF">2024-07-11T12:09:00Z</dcterms:modified>
</cp:coreProperties>
</file>