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FA0924"/>
    <w:p w:rsidR="002B4E86" w:rsidRDefault="002B4E86"/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9B089E">
        <w:rPr>
          <w:rFonts w:ascii="Times New Roman" w:hAnsi="Times New Roman" w:cs="Times New Roman"/>
          <w:b/>
          <w:sz w:val="24"/>
          <w:szCs w:val="24"/>
        </w:rPr>
        <w:t>СТКА И ПРОТОКОЛ ЗАСЕДАНИЯ ЛЭК №</w:t>
      </w:r>
      <w:r w:rsidR="00464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2A5">
        <w:rPr>
          <w:rFonts w:ascii="Times New Roman" w:hAnsi="Times New Roman" w:cs="Times New Roman"/>
          <w:b/>
          <w:sz w:val="24"/>
          <w:szCs w:val="24"/>
        </w:rPr>
        <w:t>5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141FFD">
        <w:rPr>
          <w:rFonts w:ascii="Times New Roman" w:hAnsi="Times New Roman" w:cs="Times New Roman"/>
          <w:b/>
          <w:sz w:val="24"/>
          <w:szCs w:val="24"/>
        </w:rPr>
        <w:t>20</w:t>
      </w: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BD32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BD32A5">
        <w:rPr>
          <w:rFonts w:ascii="Times New Roman" w:hAnsi="Times New Roman" w:cs="Times New Roman"/>
          <w:sz w:val="24"/>
          <w:szCs w:val="24"/>
        </w:rPr>
        <w:t>декабря</w:t>
      </w:r>
      <w:r w:rsidR="00141FFD">
        <w:rPr>
          <w:rFonts w:ascii="Times New Roman" w:hAnsi="Times New Roman" w:cs="Times New Roman"/>
          <w:sz w:val="24"/>
          <w:szCs w:val="24"/>
        </w:rPr>
        <w:t>_ 2020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A0924" w:rsidRDefault="00647545" w:rsidP="007314BC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EEF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4CA3" w:rsidRPr="002F62FA" w:rsidRDefault="00446DCE" w:rsidP="002F62FA">
      <w:pPr>
        <w:pStyle w:val="aa"/>
        <w:contextualSpacing/>
        <w:jc w:val="both"/>
      </w:pPr>
      <w:r w:rsidRPr="001233DD">
        <w:rPr>
          <w:b/>
        </w:rPr>
        <w:t>1.</w:t>
      </w:r>
      <w:r w:rsidR="00E95F5A" w:rsidRPr="001233DD">
        <w:rPr>
          <w:b/>
        </w:rPr>
        <w:t xml:space="preserve"> </w:t>
      </w:r>
      <w:r w:rsidR="00141FFD">
        <w:t>Рассмотрен</w:t>
      </w:r>
      <w:r w:rsidR="000124F9">
        <w:t xml:space="preserve">ие этических вопросов на </w:t>
      </w:r>
      <w:r w:rsidR="000124F9" w:rsidRPr="000124F9">
        <w:t xml:space="preserve">выполнение научно-исследовательской работы на тему: </w:t>
      </w:r>
      <w:r w:rsidR="000124F9" w:rsidRPr="002F62FA">
        <w:t>«</w:t>
      </w:r>
      <w:proofErr w:type="spellStart"/>
      <w:r w:rsidR="002F62FA" w:rsidRPr="002F62FA">
        <w:t>Проспективное</w:t>
      </w:r>
      <w:proofErr w:type="spellEnd"/>
      <w:r w:rsidR="002F62FA" w:rsidRPr="002F62FA">
        <w:t xml:space="preserve"> </w:t>
      </w:r>
      <w:proofErr w:type="spellStart"/>
      <w:r w:rsidR="002F62FA" w:rsidRPr="002F62FA">
        <w:t>неинтервенционное</w:t>
      </w:r>
      <w:proofErr w:type="spellEnd"/>
      <w:r w:rsidR="002F62FA" w:rsidRPr="002F62FA">
        <w:t xml:space="preserve"> многоцентровое</w:t>
      </w:r>
      <w:r w:rsidR="002F62FA">
        <w:t xml:space="preserve"> </w:t>
      </w:r>
      <w:r w:rsidR="002F62FA" w:rsidRPr="002F62FA">
        <w:t xml:space="preserve">исследование для оценки частоты кровотечений и медицинских аспектов качества жизни у пациентов, страдающих гемофилией A с ингибиторами или без них, которые получают </w:t>
      </w:r>
      <w:proofErr w:type="spellStart"/>
      <w:r w:rsidR="002F62FA" w:rsidRPr="002F62FA">
        <w:t>эмицизумаб</w:t>
      </w:r>
      <w:proofErr w:type="spellEnd"/>
      <w:r w:rsidR="002F62FA" w:rsidRPr="002F62FA">
        <w:t xml:space="preserve"> и другие препараты для лечения гемофилии в условиях реальной практики», Номер протокола МО4100».</w:t>
      </w:r>
    </w:p>
    <w:p w:rsidR="001A3604" w:rsidRPr="002F62FA" w:rsidRDefault="000701B8" w:rsidP="007314BC">
      <w:pPr>
        <w:pStyle w:val="aa"/>
        <w:contextualSpacing/>
        <w:jc w:val="both"/>
        <w:rPr>
          <w:color w:val="000000"/>
        </w:rPr>
      </w:pPr>
      <w:r w:rsidRPr="002F62FA">
        <w:rPr>
          <w:color w:val="000000"/>
        </w:rPr>
        <w:t>Главный исследователь</w:t>
      </w:r>
      <w:r w:rsidR="00171AC5" w:rsidRPr="002F62FA">
        <w:rPr>
          <w:color w:val="000000"/>
        </w:rPr>
        <w:t xml:space="preserve">: </w:t>
      </w:r>
      <w:proofErr w:type="spellStart"/>
      <w:r w:rsidR="002F62FA" w:rsidRPr="002F62FA">
        <w:rPr>
          <w:color w:val="000000"/>
        </w:rPr>
        <w:t>Манжуова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Лязат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Нурбапаевна</w:t>
      </w:r>
      <w:proofErr w:type="spellEnd"/>
    </w:p>
    <w:p w:rsidR="00432917" w:rsidRPr="002F62FA" w:rsidRDefault="00503F29" w:rsidP="002F62FA">
      <w:pPr>
        <w:pStyle w:val="aa"/>
        <w:contextualSpacing/>
        <w:jc w:val="both"/>
        <w:rPr>
          <w:color w:val="000000"/>
        </w:rPr>
      </w:pPr>
      <w:r w:rsidRPr="002F62FA">
        <w:rPr>
          <w:color w:val="000000"/>
        </w:rPr>
        <w:t>Соисполнители:</w:t>
      </w:r>
      <w:r w:rsidR="00E660D9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Киялбекова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Жанар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Анарбековна</w:t>
      </w:r>
      <w:proofErr w:type="spellEnd"/>
      <w:r w:rsidR="002F62FA">
        <w:rPr>
          <w:color w:val="000000"/>
        </w:rPr>
        <w:t xml:space="preserve">; </w:t>
      </w:r>
      <w:proofErr w:type="spellStart"/>
      <w:r w:rsidR="002F62FA" w:rsidRPr="002F62FA">
        <w:rPr>
          <w:color w:val="000000"/>
        </w:rPr>
        <w:t>Исманбекова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Әсел</w:t>
      </w:r>
      <w:proofErr w:type="spellEnd"/>
      <w:r w:rsidR="002F62FA" w:rsidRPr="002F62FA">
        <w:rPr>
          <w:color w:val="000000"/>
        </w:rPr>
        <w:t xml:space="preserve"> </w:t>
      </w:r>
      <w:proofErr w:type="spellStart"/>
      <w:r w:rsidR="002F62FA" w:rsidRPr="002F62FA">
        <w:rPr>
          <w:color w:val="000000"/>
        </w:rPr>
        <w:t>Даурқызы</w:t>
      </w:r>
      <w:proofErr w:type="spellEnd"/>
    </w:p>
    <w:p w:rsidR="005F2359" w:rsidRPr="002F62FA" w:rsidRDefault="000F67F3" w:rsidP="007314BC">
      <w:pPr>
        <w:pStyle w:val="aa"/>
        <w:contextualSpacing/>
        <w:jc w:val="both"/>
      </w:pPr>
      <w:r w:rsidRPr="002F62FA">
        <w:rPr>
          <w:color w:val="000000"/>
        </w:rPr>
        <w:t xml:space="preserve">Сроки проведения клинического исследования: </w:t>
      </w:r>
      <w:r w:rsidR="0034586D" w:rsidRPr="0034586D">
        <w:rPr>
          <w:color w:val="000000"/>
        </w:rPr>
        <w:t xml:space="preserve">Декабрь 2020г. – II квартал 2024 г. </w:t>
      </w:r>
      <w:r w:rsidR="00171AC5" w:rsidRPr="002F62FA">
        <w:t>(</w:t>
      </w:r>
      <w:r w:rsidR="0034586D">
        <w:t>4 года</w:t>
      </w:r>
      <w:r w:rsidR="00171AC5" w:rsidRPr="002F62FA">
        <w:t>)</w:t>
      </w:r>
    </w:p>
    <w:p w:rsidR="00432917" w:rsidRPr="002F62FA" w:rsidRDefault="00432917" w:rsidP="007314BC">
      <w:pPr>
        <w:pStyle w:val="aa"/>
        <w:contextualSpacing/>
        <w:jc w:val="both"/>
        <w:rPr>
          <w:color w:val="000000"/>
        </w:rPr>
      </w:pPr>
      <w:r w:rsidRPr="002F62FA">
        <w:t xml:space="preserve">Докладчик: </w:t>
      </w:r>
      <w:proofErr w:type="spellStart"/>
      <w:r w:rsidR="0034586D" w:rsidRPr="0034586D">
        <w:t>Киялбекова</w:t>
      </w:r>
      <w:proofErr w:type="spellEnd"/>
      <w:r w:rsidR="0034586D" w:rsidRPr="0034586D">
        <w:t xml:space="preserve"> </w:t>
      </w:r>
      <w:proofErr w:type="spellStart"/>
      <w:r w:rsidR="0034586D" w:rsidRPr="0034586D">
        <w:t>Жанар</w:t>
      </w:r>
      <w:proofErr w:type="spellEnd"/>
      <w:r w:rsidR="0034586D" w:rsidRPr="0034586D">
        <w:t xml:space="preserve"> </w:t>
      </w:r>
      <w:proofErr w:type="spellStart"/>
      <w:r w:rsidR="0034586D" w:rsidRPr="0034586D">
        <w:t>Анарбековна</w:t>
      </w:r>
      <w:proofErr w:type="spellEnd"/>
    </w:p>
    <w:p w:rsidR="00014764" w:rsidRDefault="00014764" w:rsidP="007314BC">
      <w:pPr>
        <w:pStyle w:val="aa"/>
        <w:contextualSpacing/>
        <w:jc w:val="both"/>
        <w:rPr>
          <w:color w:val="000000"/>
        </w:rPr>
      </w:pPr>
    </w:p>
    <w:p w:rsidR="00051B04" w:rsidRDefault="00014764" w:rsidP="00BE6389">
      <w:pPr>
        <w:pStyle w:val="aa"/>
        <w:contextualSpacing/>
        <w:jc w:val="both"/>
      </w:pPr>
      <w:r w:rsidRPr="007D21F3">
        <w:rPr>
          <w:color w:val="000000"/>
          <w:u w:val="single"/>
        </w:rPr>
        <w:t>Цель клинического исследования</w:t>
      </w:r>
      <w:r>
        <w:rPr>
          <w:color w:val="000000"/>
        </w:rPr>
        <w:t xml:space="preserve">: </w:t>
      </w:r>
      <w:r w:rsidR="00051B04" w:rsidRPr="00051B04">
        <w:t>Проанализировать число всех кровотечений, по поводу которых проведена терапия, у пациентов с гемофилией A в двух группах (Когорта A: пациенты без ингибиторов FVIII, Когорта B: пациенты с ингибиторами FVIII) в обычной клинической практике и рассчитать число кровотечений за интервал времени</w:t>
      </w:r>
    </w:p>
    <w:p w:rsidR="00955725" w:rsidRDefault="00014764" w:rsidP="00955725">
      <w:pPr>
        <w:pStyle w:val="aa"/>
        <w:contextualSpacing/>
        <w:jc w:val="both"/>
      </w:pPr>
      <w:r w:rsidRPr="007D21F3">
        <w:rPr>
          <w:u w:val="single"/>
        </w:rPr>
        <w:t>Задачи проекта</w:t>
      </w:r>
      <w:r>
        <w:t xml:space="preserve">: </w:t>
      </w:r>
    </w:p>
    <w:p w:rsidR="00955725" w:rsidRDefault="00955725" w:rsidP="00955725">
      <w:pPr>
        <w:pStyle w:val="aa"/>
        <w:contextualSpacing/>
        <w:jc w:val="both"/>
      </w:pPr>
      <w:r>
        <w:t xml:space="preserve">1. </w:t>
      </w:r>
      <w:proofErr w:type="gramStart"/>
      <w:r>
        <w:t>Проанализировать число всех кровотечений, по поводу которых проведена терапия, на основании среднегодовой частоты кровотечений (ABR) у пациентов с гемофилией A в зависимости от типа лечения в двух группах (Когорта A: пациенты без</w:t>
      </w:r>
      <w:proofErr w:type="gramEnd"/>
    </w:p>
    <w:p w:rsidR="00955725" w:rsidRDefault="00955725" w:rsidP="00955725">
      <w:pPr>
        <w:pStyle w:val="aa"/>
        <w:contextualSpacing/>
        <w:jc w:val="both"/>
      </w:pPr>
      <w:r>
        <w:t>ингибиторов FVIII, Когорта B: пациенты с ингибиторами FVIII) в обычной клинической практике</w:t>
      </w:r>
    </w:p>
    <w:p w:rsidR="00955725" w:rsidRDefault="00955725" w:rsidP="00955725">
      <w:pPr>
        <w:pStyle w:val="aa"/>
        <w:contextualSpacing/>
        <w:jc w:val="both"/>
      </w:pPr>
      <w:r>
        <w:t xml:space="preserve">2. </w:t>
      </w:r>
      <w:proofErr w:type="gramStart"/>
      <w:r>
        <w:t xml:space="preserve">Проанализировать разницу в числе всех кровотечений, по поводу которых проводилась терапия, у пациентов с гемофилией A до и после получения </w:t>
      </w:r>
      <w:proofErr w:type="spellStart"/>
      <w:r>
        <w:t>эмицизумаба</w:t>
      </w:r>
      <w:proofErr w:type="spellEnd"/>
      <w:r>
        <w:t xml:space="preserve"> (</w:t>
      </w:r>
      <w:proofErr w:type="spellStart"/>
      <w:r>
        <w:t>внутрисубъектный</w:t>
      </w:r>
      <w:proofErr w:type="spellEnd"/>
      <w:proofErr w:type="gramEnd"/>
    </w:p>
    <w:p w:rsidR="00955725" w:rsidRDefault="00955725" w:rsidP="00955725">
      <w:pPr>
        <w:pStyle w:val="aa"/>
        <w:contextualSpacing/>
        <w:jc w:val="both"/>
      </w:pPr>
      <w:r>
        <w:t xml:space="preserve">анализ). Этот анализ будет применяться только к пациентам, перешедшим на </w:t>
      </w:r>
      <w:proofErr w:type="spellStart"/>
      <w:proofErr w:type="gramStart"/>
      <w:r>
        <w:t>эмицизумаб</w:t>
      </w:r>
      <w:proofErr w:type="spellEnd"/>
      <w:proofErr w:type="gramEnd"/>
      <w:r>
        <w:t xml:space="preserve"> по крайней мере через 6 месяцев после включения в исследование</w:t>
      </w:r>
    </w:p>
    <w:p w:rsidR="00955725" w:rsidRDefault="00955725" w:rsidP="00955725">
      <w:pPr>
        <w:pStyle w:val="aa"/>
        <w:contextualSpacing/>
        <w:jc w:val="both"/>
      </w:pPr>
      <w:r>
        <w:t>3. Проанализировать число всех кровотечений (по поводу которых проводилась или не проводилась терапия), включая суставные, значимые кровотечения, травматические и</w:t>
      </w:r>
    </w:p>
    <w:p w:rsidR="00955725" w:rsidRDefault="00955725" w:rsidP="00955725">
      <w:pPr>
        <w:pStyle w:val="aa"/>
        <w:contextualSpacing/>
        <w:jc w:val="both"/>
      </w:pPr>
      <w:r>
        <w:t>спонтанные кровотечения, у пациентов с гемофилией A в двух группах (Когорта A: пациенты без ингибиторов FVIII, Когорта B: пациенты с ингибиторами FVIII) в обычной клинической практике</w:t>
      </w:r>
    </w:p>
    <w:p w:rsidR="00955725" w:rsidRDefault="00955725" w:rsidP="00955725">
      <w:pPr>
        <w:pStyle w:val="aa"/>
        <w:contextualSpacing/>
        <w:jc w:val="both"/>
        <w:rPr>
          <w:u w:val="single"/>
        </w:rPr>
      </w:pPr>
      <w:r>
        <w:t>4. Проанализировать процент пациентов без кровотечений</w:t>
      </w:r>
      <w:r w:rsidRPr="007D21F3">
        <w:rPr>
          <w:u w:val="single"/>
        </w:rPr>
        <w:t xml:space="preserve"> </w:t>
      </w:r>
    </w:p>
    <w:p w:rsidR="00402E0C" w:rsidRPr="004E0387" w:rsidRDefault="007D21F3" w:rsidP="004E0387">
      <w:pPr>
        <w:pStyle w:val="aa"/>
        <w:contextualSpacing/>
        <w:jc w:val="both"/>
      </w:pPr>
      <w:r w:rsidRPr="007D21F3">
        <w:rPr>
          <w:u w:val="single"/>
        </w:rPr>
        <w:t>Научная новизна</w:t>
      </w:r>
      <w:r>
        <w:rPr>
          <w:u w:val="single"/>
        </w:rPr>
        <w:t xml:space="preserve">: </w:t>
      </w:r>
      <w:r w:rsidR="00402E0C" w:rsidRPr="00402E0C">
        <w:t>Оценить общее количество кровотечений, по поводу которых проводилось лечение, с течением времени. Анализ количества с течением</w:t>
      </w:r>
      <w:r w:rsidR="00402E0C">
        <w:t xml:space="preserve"> </w:t>
      </w:r>
      <w:r w:rsidR="00402E0C" w:rsidRPr="00402E0C">
        <w:t>времени будет проведен с использованием</w:t>
      </w:r>
      <w:r w:rsidR="00402E0C">
        <w:t xml:space="preserve"> </w:t>
      </w:r>
      <w:r w:rsidR="00402E0C" w:rsidRPr="00402E0C">
        <w:t xml:space="preserve">модели отрицательной биномиальной регрессии, в которой будут учитываться различные сроки наблюдения. В модель будет включено количество кровотечений, имевшихся у конкретного пациента (&lt;6 либо ≥6) </w:t>
      </w:r>
      <w:proofErr w:type="gramStart"/>
      <w:r w:rsidR="00402E0C" w:rsidRPr="00402E0C">
        <w:t>за</w:t>
      </w:r>
      <w:proofErr w:type="gramEnd"/>
      <w:r w:rsidR="00402E0C" w:rsidRPr="00402E0C">
        <w:t xml:space="preserve">  предшествующие 26</w:t>
      </w:r>
      <w:r w:rsidR="00402E0C" w:rsidRPr="00402E0C">
        <w:rPr>
          <w:u w:val="single"/>
        </w:rPr>
        <w:t xml:space="preserve"> </w:t>
      </w:r>
      <w:r w:rsidR="00402E0C" w:rsidRPr="004E0387">
        <w:lastRenderedPageBreak/>
        <w:t>недель до включения в исследование. Кроме того, в качестве переменного смещения в эту модель будет включена длительность участия каждого пациента в исследовании.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Будет проводиться анализ только времени с</w:t>
      </w:r>
      <w:r w:rsidR="004E0387">
        <w:t xml:space="preserve"> </w:t>
      </w:r>
      <w:r w:rsidRPr="004E0387">
        <w:t>включения до перехода на другую схему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терапии.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Расчёт частоты кровотечений будет проводиться для всех когорт и всех терапевтических групп, с</w:t>
      </w:r>
      <w:r w:rsidR="004E0387">
        <w:t xml:space="preserve"> </w:t>
      </w:r>
      <w:r w:rsidRPr="004E0387">
        <w:t>соответствующими 95% доверительными</w:t>
      </w:r>
      <w:r w:rsidR="004E0387">
        <w:t xml:space="preserve"> </w:t>
      </w:r>
      <w:r w:rsidRPr="004E0387">
        <w:t>интервалами.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Общее число кровотечений (по поводу которых проводилось или не проводилось лечение), число спонтанных кровотечений, суставных кровотечений, значимых и травматических кровотечений, наряду с числом других кровотечений будет оценено с помощью регрессионной модели NB, как описано для первичной конечной точки эффективности.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 xml:space="preserve">Для расчета ABR будут использовать только время наблюдения и число кровотечений за период соответствующей терапии. 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Значения ABR будут вычислять на основании данных по всем пациентам, получавшим один из этих вариантов терапии (то есть пациенты могут быть включены в несколько расчетов ABR в</w:t>
      </w:r>
      <w:r w:rsidR="004E0387">
        <w:t xml:space="preserve"> </w:t>
      </w:r>
      <w:r w:rsidRPr="004E0387">
        <w:t>случае смены терапии во время исследования).</w:t>
      </w:r>
    </w:p>
    <w:p w:rsidR="00402E0C" w:rsidRPr="004E0387" w:rsidRDefault="00402E0C" w:rsidP="004E0387">
      <w:pPr>
        <w:pStyle w:val="aa"/>
        <w:contextualSpacing/>
        <w:jc w:val="both"/>
      </w:pPr>
      <w:r w:rsidRPr="004E0387">
        <w:t>Кроме того, в каждой когорте значения ABR для пациентов, перешедших на другой вариант лечения в ходе исследования, будут оценивать отдельно по лекарственным препаратам.</w:t>
      </w:r>
    </w:p>
    <w:p w:rsidR="00626C5C" w:rsidRDefault="00402E0C" w:rsidP="004E0387">
      <w:pPr>
        <w:pStyle w:val="aa"/>
        <w:contextualSpacing/>
        <w:jc w:val="both"/>
      </w:pPr>
      <w:r w:rsidRPr="004E0387">
        <w:t>Период эффективности профилактического</w:t>
      </w:r>
      <w:r w:rsidR="004E0387">
        <w:t xml:space="preserve"> </w:t>
      </w:r>
      <w:r w:rsidRPr="004E0387">
        <w:t xml:space="preserve">применения FVIII или BPA в контрольной группе 2 определяется как интервал от первого внесения данных с электронного портативного устройства или из центра в базу данных до дня перехода пациента на терапию </w:t>
      </w:r>
      <w:proofErr w:type="spellStart"/>
      <w:r w:rsidRPr="004E0387">
        <w:t>эмицизумабом</w:t>
      </w:r>
      <w:proofErr w:type="spellEnd"/>
      <w:r w:rsidRPr="00402E0C">
        <w:rPr>
          <w:u w:val="single"/>
        </w:rPr>
        <w:t>.</w:t>
      </w:r>
    </w:p>
    <w:p w:rsidR="00626C5C" w:rsidRDefault="00626C5C" w:rsidP="00413D6D">
      <w:pPr>
        <w:pStyle w:val="aa"/>
        <w:contextualSpacing/>
        <w:jc w:val="both"/>
        <w:rPr>
          <w:color w:val="000000"/>
        </w:rPr>
      </w:pPr>
      <w:r w:rsidRPr="00626C5C">
        <w:rPr>
          <w:u w:val="single"/>
        </w:rPr>
        <w:t>Количество субъектов исследования</w:t>
      </w:r>
      <w:r>
        <w:rPr>
          <w:color w:val="000000"/>
        </w:rPr>
        <w:t xml:space="preserve">: </w:t>
      </w:r>
    </w:p>
    <w:p w:rsidR="00413D6D" w:rsidRDefault="009431F8" w:rsidP="00413D6D">
      <w:pPr>
        <w:pStyle w:val="aa"/>
        <w:contextualSpacing/>
        <w:jc w:val="both"/>
        <w:rPr>
          <w:color w:val="000000"/>
        </w:rPr>
      </w:pPr>
      <w:r w:rsidRPr="009431F8">
        <w:rPr>
          <w:color w:val="000000"/>
        </w:rPr>
        <w:t>Число участников: В исследование будет включено примерно 705 пациентов (609 пациентов без ингибиторов FVIII, 104 пациентов с ингибиторами); в Казахстане планируется включить 24 пациента (конкурентный набор)</w:t>
      </w:r>
      <w:r>
        <w:rPr>
          <w:color w:val="000000"/>
        </w:rPr>
        <w:t>.</w:t>
      </w:r>
    </w:p>
    <w:p w:rsidR="00430004" w:rsidRPr="00430004" w:rsidRDefault="00C752CE" w:rsidP="00430004">
      <w:pPr>
        <w:pStyle w:val="aa"/>
        <w:contextualSpacing/>
        <w:jc w:val="both"/>
        <w:rPr>
          <w:color w:val="000000"/>
        </w:rPr>
      </w:pPr>
      <w:r w:rsidRPr="00C752CE">
        <w:rPr>
          <w:color w:val="000000"/>
          <w:u w:val="single"/>
        </w:rPr>
        <w:t>Анализ и мониторинг данных</w:t>
      </w:r>
      <w:r>
        <w:rPr>
          <w:color w:val="000000"/>
          <w:u w:val="single"/>
        </w:rPr>
        <w:t xml:space="preserve">: </w:t>
      </w:r>
      <w:r w:rsidR="00430004" w:rsidRPr="00430004">
        <w:rPr>
          <w:color w:val="000000"/>
        </w:rPr>
        <w:t xml:space="preserve">В анализ будут включены все пациенты, отвечающие критериям отбора и включённые в исследование. Поскольку данное исследование является </w:t>
      </w:r>
      <w:proofErr w:type="spellStart"/>
      <w:r w:rsidR="00430004" w:rsidRPr="00430004">
        <w:rPr>
          <w:color w:val="000000"/>
        </w:rPr>
        <w:t>неинтервенционным</w:t>
      </w:r>
      <w:proofErr w:type="spellEnd"/>
      <w:r w:rsidR="00430004" w:rsidRPr="00430004">
        <w:rPr>
          <w:color w:val="000000"/>
        </w:rPr>
        <w:t>, все анализы будут</w:t>
      </w:r>
    </w:p>
    <w:p w:rsidR="00430004" w:rsidRPr="00430004" w:rsidRDefault="00430004" w:rsidP="00430004">
      <w:pPr>
        <w:pStyle w:val="aa"/>
        <w:contextualSpacing/>
        <w:jc w:val="both"/>
        <w:rPr>
          <w:color w:val="000000"/>
        </w:rPr>
      </w:pPr>
      <w:r w:rsidRPr="00430004">
        <w:rPr>
          <w:color w:val="000000"/>
        </w:rPr>
        <w:t>проводиться в «основных анализируемых популяциях» (</w:t>
      </w:r>
      <w:proofErr w:type="spellStart"/>
      <w:r w:rsidRPr="00430004">
        <w:rPr>
          <w:color w:val="000000"/>
        </w:rPr>
        <w:t>Core</w:t>
      </w:r>
      <w:proofErr w:type="spellEnd"/>
      <w:r w:rsidRPr="00430004">
        <w:rPr>
          <w:color w:val="000000"/>
        </w:rPr>
        <w:t xml:space="preserve"> </w:t>
      </w:r>
      <w:proofErr w:type="spellStart"/>
      <w:r w:rsidRPr="00430004">
        <w:rPr>
          <w:color w:val="000000"/>
        </w:rPr>
        <w:t>Analysis</w:t>
      </w:r>
      <w:proofErr w:type="spellEnd"/>
      <w:r w:rsidRPr="00430004">
        <w:rPr>
          <w:color w:val="000000"/>
        </w:rPr>
        <w:t xml:space="preserve"> </w:t>
      </w:r>
      <w:proofErr w:type="spellStart"/>
      <w:r w:rsidRPr="00430004">
        <w:rPr>
          <w:color w:val="000000"/>
        </w:rPr>
        <w:t>Populations</w:t>
      </w:r>
      <w:proofErr w:type="spellEnd"/>
      <w:r w:rsidRPr="00430004">
        <w:rPr>
          <w:color w:val="000000"/>
        </w:rPr>
        <w:t xml:space="preserve">, CAP). Популяция CAP включает всех пациентов, соответствующих критериям отбора и набранных для участия в исследовании, которые </w:t>
      </w:r>
      <w:proofErr w:type="gramStart"/>
      <w:r w:rsidRPr="00430004">
        <w:rPr>
          <w:color w:val="000000"/>
        </w:rPr>
        <w:t>получили</w:t>
      </w:r>
      <w:proofErr w:type="gramEnd"/>
      <w:r w:rsidRPr="00430004">
        <w:rPr>
          <w:color w:val="000000"/>
        </w:rPr>
        <w:t xml:space="preserve"> по крайней мере одну дозу изучаемого лекарственного средства, описываемого в</w:t>
      </w:r>
    </w:p>
    <w:p w:rsidR="00430004" w:rsidRPr="00430004" w:rsidRDefault="00430004" w:rsidP="00430004">
      <w:pPr>
        <w:pStyle w:val="aa"/>
        <w:contextualSpacing/>
        <w:jc w:val="both"/>
        <w:rPr>
          <w:color w:val="000000"/>
        </w:rPr>
      </w:pPr>
      <w:proofErr w:type="gramStart"/>
      <w:r w:rsidRPr="00430004">
        <w:rPr>
          <w:color w:val="000000"/>
        </w:rPr>
        <w:t>протоколе</w:t>
      </w:r>
      <w:proofErr w:type="gramEnd"/>
      <w:r w:rsidRPr="00430004">
        <w:rPr>
          <w:color w:val="000000"/>
        </w:rPr>
        <w:t>. Для каждой когорты (с ингибиторами и без ингибиторов) анализ и отчёт по нему будут раздельными, с группировкой в зависимости от фактически полученного лечения.</w:t>
      </w:r>
    </w:p>
    <w:p w:rsidR="00C752CE" w:rsidRPr="00430004" w:rsidRDefault="00430004" w:rsidP="00430004">
      <w:pPr>
        <w:pStyle w:val="aa"/>
        <w:contextualSpacing/>
        <w:jc w:val="both"/>
        <w:rPr>
          <w:color w:val="000000"/>
        </w:rPr>
      </w:pPr>
      <w:r w:rsidRPr="00430004">
        <w:rPr>
          <w:color w:val="000000"/>
        </w:rPr>
        <w:t>Последовательность участия пациентов в этом исследовании будет изображена в диаграмме «CONSORT». Будут чётко изображены сведения обо всех пациентах, включённых в исследование, и завершивших каждую из его фаз. Кроме того, будут описаны причины досрочной отмены исследуемой терапии и причины выхода из исследования (например, во время наблюдения).</w:t>
      </w:r>
    </w:p>
    <w:p w:rsidR="007F2E24" w:rsidRDefault="007F2E24" w:rsidP="007F2E24">
      <w:pPr>
        <w:pStyle w:val="aa"/>
        <w:contextualSpacing/>
        <w:jc w:val="both"/>
        <w:rPr>
          <w:color w:val="000000"/>
          <w:u w:val="single"/>
        </w:rPr>
      </w:pPr>
    </w:p>
    <w:p w:rsidR="00430004" w:rsidRDefault="002B5E90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 w:rsidR="00430004"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 w:rsidR="00430004">
        <w:rPr>
          <w:rFonts w:ascii="Times New Roman" w:hAnsi="Times New Roman" w:cs="Times New Roman"/>
          <w:sz w:val="24"/>
          <w:szCs w:val="24"/>
        </w:rPr>
        <w:t xml:space="preserve"> Н.Н.</w:t>
      </w:r>
      <w:r w:rsidR="00085344">
        <w:rPr>
          <w:rFonts w:ascii="Times New Roman" w:hAnsi="Times New Roman" w:cs="Times New Roman"/>
          <w:sz w:val="24"/>
          <w:szCs w:val="24"/>
        </w:rPr>
        <w:t xml:space="preserve"> Методология исследо</w:t>
      </w:r>
      <w:r w:rsidR="002D69A3">
        <w:rPr>
          <w:rFonts w:ascii="Times New Roman" w:hAnsi="Times New Roman" w:cs="Times New Roman"/>
          <w:sz w:val="24"/>
          <w:szCs w:val="24"/>
        </w:rPr>
        <w:t>вания? Научная новизна</w:t>
      </w:r>
      <w:r w:rsidR="00085344">
        <w:rPr>
          <w:rFonts w:ascii="Times New Roman" w:hAnsi="Times New Roman" w:cs="Times New Roman"/>
          <w:sz w:val="24"/>
          <w:szCs w:val="24"/>
        </w:rPr>
        <w:t>?</w:t>
      </w:r>
    </w:p>
    <w:p w:rsidR="00036F22" w:rsidRPr="00036F22" w:rsidRDefault="00BC2926" w:rsidP="00036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36F22" w:rsidRPr="00036F22">
        <w:rPr>
          <w:rFonts w:ascii="Times New Roman" w:hAnsi="Times New Roman" w:cs="Times New Roman"/>
          <w:sz w:val="24"/>
          <w:szCs w:val="24"/>
        </w:rPr>
        <w:t xml:space="preserve">Международное </w:t>
      </w:r>
      <w:proofErr w:type="spellStart"/>
      <w:r w:rsidR="00036F22" w:rsidRPr="00036F22">
        <w:rPr>
          <w:rFonts w:ascii="Times New Roman" w:hAnsi="Times New Roman" w:cs="Times New Roman"/>
          <w:sz w:val="24"/>
          <w:szCs w:val="24"/>
        </w:rPr>
        <w:t>неинтервенционное</w:t>
      </w:r>
      <w:proofErr w:type="spellEnd"/>
      <w:r w:rsidR="00036F22" w:rsidRPr="00036F22">
        <w:rPr>
          <w:rFonts w:ascii="Times New Roman" w:hAnsi="Times New Roman" w:cs="Times New Roman"/>
          <w:sz w:val="24"/>
          <w:szCs w:val="24"/>
        </w:rPr>
        <w:t xml:space="preserve"> исследование будет проводиться у пациентов с тяжелой гемофилией A.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lastRenderedPageBreak/>
        <w:t xml:space="preserve">Популяция исследования будет разделена на 2 когорты: пациенты без ингибиторов FVIII (Когорта A) и пациенты с ингибиторами (Когорта B). </w:t>
      </w:r>
      <w:proofErr w:type="gramStart"/>
      <w:r w:rsidRPr="00036F22">
        <w:rPr>
          <w:rFonts w:ascii="Times New Roman" w:hAnsi="Times New Roman" w:cs="Times New Roman"/>
          <w:sz w:val="24"/>
          <w:szCs w:val="24"/>
        </w:rPr>
        <w:t>Пациенты в Когортах A и B будут продолжать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22">
        <w:rPr>
          <w:rFonts w:ascii="Times New Roman" w:hAnsi="Times New Roman" w:cs="Times New Roman"/>
          <w:sz w:val="24"/>
          <w:szCs w:val="24"/>
        </w:rPr>
        <w:t>терапию «по требованию», например, FVIII (пациенты без ингибиторов или препараты шунтирующего действия (пациенты с ингибиторами).</w:t>
      </w:r>
      <w:proofErr w:type="gramEnd"/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>Контрольная группа 1, либо профилактическую терапию FVIII (пациенты без ингибиторов)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22">
        <w:rPr>
          <w:rFonts w:ascii="Times New Roman" w:hAnsi="Times New Roman" w:cs="Times New Roman"/>
          <w:sz w:val="24"/>
          <w:szCs w:val="24"/>
        </w:rPr>
        <w:t>препаратами шунтирующего действия (пациенты с ингибиторами)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 xml:space="preserve">Контрольная группа 2, либо профилактическую терапию 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эмицизумабом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Гемлибра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>)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>— Группа терапии 1. Решение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22">
        <w:rPr>
          <w:rFonts w:ascii="Times New Roman" w:hAnsi="Times New Roman" w:cs="Times New Roman"/>
          <w:sz w:val="24"/>
          <w:szCs w:val="24"/>
        </w:rPr>
        <w:t>изучаемых лекарственных средств пациентам (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эмицизумаба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>, FVIII, препаратов шунтирующего действия) и/или об изменениях изучаемых лекарственных средств или схем терапии (профилактика/терапия по требованию) остается в ответственности лечащего врача; это решение должно наилучшим образом соответствовать интересам пациентов и не регулируется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22">
        <w:rPr>
          <w:rFonts w:ascii="Times New Roman" w:hAnsi="Times New Roman" w:cs="Times New Roman"/>
          <w:sz w:val="24"/>
          <w:szCs w:val="24"/>
        </w:rPr>
        <w:t>протоколом.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>Наблюдение за всеми пациентами будет продолжаться в течение одного года (52 недели) с начала сбора данных. Если пациент поменяет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22">
        <w:rPr>
          <w:rFonts w:ascii="Times New Roman" w:hAnsi="Times New Roman" w:cs="Times New Roman"/>
          <w:sz w:val="24"/>
          <w:szCs w:val="24"/>
        </w:rPr>
        <w:t>режим лечения в течение первых 52 недель наблюдения, будет добавлен дополнительный год (52 недели) наблюдения.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 xml:space="preserve">Пациенты будут получать 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эмицизумаб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 xml:space="preserve"> (препарат 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Гемлибра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>) в соответствии с зарегистрированными Инструкциями по медицинскому применению.</w:t>
      </w:r>
    </w:p>
    <w:p w:rsidR="00036F22" w:rsidRPr="00036F22" w:rsidRDefault="00036F22" w:rsidP="00036F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>Препараты Фактора VIII и препараты шунтирующего действия (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aPCC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F22">
        <w:rPr>
          <w:rFonts w:ascii="Times New Roman" w:hAnsi="Times New Roman" w:cs="Times New Roman"/>
          <w:sz w:val="24"/>
          <w:szCs w:val="24"/>
        </w:rPr>
        <w:t>rFVIIa</w:t>
      </w:r>
      <w:proofErr w:type="spellEnd"/>
      <w:r w:rsidRPr="00036F22">
        <w:rPr>
          <w:rFonts w:ascii="Times New Roman" w:hAnsi="Times New Roman" w:cs="Times New Roman"/>
          <w:sz w:val="24"/>
          <w:szCs w:val="24"/>
        </w:rPr>
        <w:t>), которые будут использоваться в исследовании, должны применяться в соответствии с местными Инструкциями по медицинскому применению этих препаратов.</w:t>
      </w:r>
    </w:p>
    <w:p w:rsidR="00430004" w:rsidRDefault="00036F22" w:rsidP="00036F22">
      <w:pPr>
        <w:jc w:val="both"/>
        <w:rPr>
          <w:rFonts w:ascii="Times New Roman" w:hAnsi="Times New Roman" w:cs="Times New Roman"/>
          <w:sz w:val="24"/>
          <w:szCs w:val="24"/>
        </w:rPr>
      </w:pPr>
      <w:r w:rsidRPr="00036F22">
        <w:rPr>
          <w:rFonts w:ascii="Times New Roman" w:hAnsi="Times New Roman" w:cs="Times New Roman"/>
          <w:sz w:val="24"/>
          <w:szCs w:val="24"/>
        </w:rPr>
        <w:t>Выбор дозы и терапии для пациента должен делаться медицинским работником в соответствии со стандартной местной клинической практикой, местными Инструкциями по медицинскому применению и интересами пациента.</w:t>
      </w:r>
    </w:p>
    <w:p w:rsidR="001B06A6" w:rsidRPr="001B06A6" w:rsidRDefault="001B06A6" w:rsidP="001B0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Оценить общее количество кровотечений, по поводу которых проводилось лечение, с течением времени. Анализ количества с течением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>времени будет проведен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 xml:space="preserve">модели отрицательной биномиальной регрессии, в которой будут учитываться различные сроки наблюдения. В модель будет включено количество кровотечений, имевшихся у конкретного пациента (&lt;6 либо ≥6) </w:t>
      </w:r>
      <w:proofErr w:type="gramStart"/>
      <w:r w:rsidRPr="001B06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06A6">
        <w:rPr>
          <w:rFonts w:ascii="Times New Roman" w:hAnsi="Times New Roman" w:cs="Times New Roman"/>
          <w:sz w:val="24"/>
          <w:szCs w:val="24"/>
        </w:rPr>
        <w:t xml:space="preserve">  предшествующие 26 недель до включения в исследование. Кроме того, в качестве переменного смещения в эту модель будет включена длительность участия каждого пациента в исследовании.</w:t>
      </w:r>
    </w:p>
    <w:p w:rsidR="001B06A6" w:rsidRPr="001B06A6" w:rsidRDefault="001B06A6" w:rsidP="001B0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Будет проводиться анализ только времени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>включения до перехода на другую схему</w:t>
      </w:r>
    </w:p>
    <w:p w:rsidR="001B06A6" w:rsidRPr="001B06A6" w:rsidRDefault="001B06A6" w:rsidP="001B0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терапии.</w:t>
      </w:r>
    </w:p>
    <w:p w:rsidR="001B06A6" w:rsidRPr="001B06A6" w:rsidRDefault="001B06A6" w:rsidP="001B0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Расчёт частоты кровотечений будет проводиться для всех когорт и всех терапевтических групп,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>соответствующими 95% доверительными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>интервалами.</w:t>
      </w:r>
    </w:p>
    <w:p w:rsidR="001B06A6" w:rsidRPr="001B06A6" w:rsidRDefault="001B06A6" w:rsidP="001B06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Общее число кровотечений (по поводу которых проводилось или не проводилось лечение), число спонтанных кровотечений, суставных кровотечений, значимых и травматических кровотечений, наряду с числом других кровотечений будет оценено с помощью регрессионной модели NB, как описано для первичной конечной точки эффективности.</w:t>
      </w:r>
    </w:p>
    <w:p w:rsidR="001B06A6" w:rsidRPr="001B06A6" w:rsidRDefault="001B06A6" w:rsidP="001B06A6">
      <w:pPr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Для расчета ABR будут использовать только время наблюдения и число кровотечений за период соответствующей терапии. Значения ABR будут вычислять на основании данных по всем пациентам, получавшим один из этих вариантов терапии (то есть пациенты могут быть включены в несколько расчетов ABR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>случае смены терапии во время исследования).</w:t>
      </w:r>
    </w:p>
    <w:p w:rsidR="001B06A6" w:rsidRPr="001B06A6" w:rsidRDefault="001B06A6" w:rsidP="009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lastRenderedPageBreak/>
        <w:t>Кроме того, в каждой когорте значения ABR для пациентов, перешедших на другой вариант лечения в ходе исследования, будут оценивать отдельно по лекарственным препаратам.</w:t>
      </w:r>
    </w:p>
    <w:p w:rsidR="00430004" w:rsidRDefault="001B06A6" w:rsidP="009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A6">
        <w:rPr>
          <w:rFonts w:ascii="Times New Roman" w:hAnsi="Times New Roman" w:cs="Times New Roman"/>
          <w:sz w:val="24"/>
          <w:szCs w:val="24"/>
        </w:rPr>
        <w:t>Период эффективности профилактического</w:t>
      </w:r>
      <w:r w:rsidR="00981788">
        <w:rPr>
          <w:rFonts w:ascii="Times New Roman" w:hAnsi="Times New Roman" w:cs="Times New Roman"/>
          <w:sz w:val="24"/>
          <w:szCs w:val="24"/>
        </w:rPr>
        <w:t xml:space="preserve"> </w:t>
      </w:r>
      <w:r w:rsidRPr="001B06A6">
        <w:rPr>
          <w:rFonts w:ascii="Times New Roman" w:hAnsi="Times New Roman" w:cs="Times New Roman"/>
          <w:sz w:val="24"/>
          <w:szCs w:val="24"/>
        </w:rPr>
        <w:t xml:space="preserve">применения FVIII или BPA в контрольной группе 2 определяется как интервал от первого внесения данных с электронного портативного устройства или из центра в базу данных до дня перехода пациента на терапию </w:t>
      </w:r>
      <w:proofErr w:type="spellStart"/>
      <w:r w:rsidRPr="001B06A6">
        <w:rPr>
          <w:rFonts w:ascii="Times New Roman" w:hAnsi="Times New Roman" w:cs="Times New Roman"/>
          <w:sz w:val="24"/>
          <w:szCs w:val="24"/>
        </w:rPr>
        <w:t>эмицизумабом</w:t>
      </w:r>
      <w:proofErr w:type="spellEnd"/>
      <w:r w:rsidRPr="001B06A6">
        <w:rPr>
          <w:rFonts w:ascii="Times New Roman" w:hAnsi="Times New Roman" w:cs="Times New Roman"/>
          <w:sz w:val="24"/>
          <w:szCs w:val="24"/>
        </w:rPr>
        <w:t>.</w:t>
      </w:r>
    </w:p>
    <w:p w:rsidR="00981788" w:rsidRDefault="00981788" w:rsidP="0073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5A" w:rsidRDefault="0049785A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Назарова А.</w:t>
      </w:r>
      <w:proofErr w:type="gramStart"/>
      <w:r>
        <w:rPr>
          <w:rFonts w:ascii="Times New Roman" w:hAnsi="Times New Roman" w:cs="Times New Roman"/>
          <w:sz w:val="24"/>
          <w:szCs w:val="24"/>
        </w:rPr>
        <w:t>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3A0">
        <w:rPr>
          <w:rFonts w:ascii="Times New Roman" w:hAnsi="Times New Roman" w:cs="Times New Roman"/>
          <w:sz w:val="24"/>
          <w:szCs w:val="24"/>
        </w:rPr>
        <w:t>Каким образом планируется проведение а</w:t>
      </w:r>
      <w:r w:rsidR="001B33A0" w:rsidRPr="001B33A0">
        <w:rPr>
          <w:rFonts w:ascii="Times New Roman" w:hAnsi="Times New Roman" w:cs="Times New Roman"/>
          <w:sz w:val="24"/>
          <w:szCs w:val="24"/>
        </w:rPr>
        <w:t>нализ</w:t>
      </w:r>
      <w:r w:rsidR="001B33A0">
        <w:rPr>
          <w:rFonts w:ascii="Times New Roman" w:hAnsi="Times New Roman" w:cs="Times New Roman"/>
          <w:sz w:val="24"/>
          <w:szCs w:val="24"/>
        </w:rPr>
        <w:t>а</w:t>
      </w:r>
      <w:r w:rsidR="001B33A0" w:rsidRPr="001B33A0">
        <w:rPr>
          <w:rFonts w:ascii="Times New Roman" w:hAnsi="Times New Roman" w:cs="Times New Roman"/>
          <w:sz w:val="24"/>
          <w:szCs w:val="24"/>
        </w:rPr>
        <w:t xml:space="preserve"> и мониторинг</w:t>
      </w:r>
      <w:r w:rsidR="001B33A0">
        <w:rPr>
          <w:rFonts w:ascii="Times New Roman" w:hAnsi="Times New Roman" w:cs="Times New Roman"/>
          <w:sz w:val="24"/>
          <w:szCs w:val="24"/>
        </w:rPr>
        <w:t>а</w:t>
      </w:r>
      <w:r w:rsidR="001B33A0" w:rsidRPr="001B33A0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1B33A0">
        <w:rPr>
          <w:rFonts w:ascii="Times New Roman" w:hAnsi="Times New Roman" w:cs="Times New Roman"/>
          <w:sz w:val="24"/>
          <w:szCs w:val="24"/>
        </w:rPr>
        <w:t>?</w:t>
      </w:r>
    </w:p>
    <w:p w:rsidR="00965E4B" w:rsidRPr="00965E4B" w:rsidRDefault="00965E4B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65E4B">
        <w:rPr>
          <w:rFonts w:ascii="Times New Roman" w:hAnsi="Times New Roman" w:cs="Times New Roman"/>
          <w:sz w:val="24"/>
          <w:szCs w:val="24"/>
        </w:rPr>
        <w:t xml:space="preserve">В анализ будут включены все пациенты, отвечающие критериям отбора и включённые в исследование. Поскольку данное исследование является </w:t>
      </w:r>
      <w:proofErr w:type="spellStart"/>
      <w:r w:rsidRPr="00965E4B">
        <w:rPr>
          <w:rFonts w:ascii="Times New Roman" w:hAnsi="Times New Roman" w:cs="Times New Roman"/>
          <w:sz w:val="24"/>
          <w:szCs w:val="24"/>
        </w:rPr>
        <w:t>неинтервенционным</w:t>
      </w:r>
      <w:proofErr w:type="spellEnd"/>
      <w:r w:rsidRPr="00965E4B">
        <w:rPr>
          <w:rFonts w:ascii="Times New Roman" w:hAnsi="Times New Roman" w:cs="Times New Roman"/>
          <w:sz w:val="24"/>
          <w:szCs w:val="24"/>
        </w:rPr>
        <w:t>, все анализы будут</w:t>
      </w:r>
    </w:p>
    <w:p w:rsidR="00965E4B" w:rsidRPr="00965E4B" w:rsidRDefault="00965E4B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E4B">
        <w:rPr>
          <w:rFonts w:ascii="Times New Roman" w:hAnsi="Times New Roman" w:cs="Times New Roman"/>
          <w:sz w:val="24"/>
          <w:szCs w:val="24"/>
        </w:rPr>
        <w:t>проводиться в «основных анализируемых популяциях» (</w:t>
      </w:r>
      <w:proofErr w:type="spellStart"/>
      <w:r w:rsidRPr="00965E4B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96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E4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6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E4B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965E4B">
        <w:rPr>
          <w:rFonts w:ascii="Times New Roman" w:hAnsi="Times New Roman" w:cs="Times New Roman"/>
          <w:sz w:val="24"/>
          <w:szCs w:val="24"/>
        </w:rPr>
        <w:t xml:space="preserve">, CAP). Популяция CAP включает всех пациентов, соответствующих критериям отбора и набранных для участия в исследовании, которые </w:t>
      </w:r>
      <w:proofErr w:type="gramStart"/>
      <w:r w:rsidRPr="00965E4B">
        <w:rPr>
          <w:rFonts w:ascii="Times New Roman" w:hAnsi="Times New Roman" w:cs="Times New Roman"/>
          <w:sz w:val="24"/>
          <w:szCs w:val="24"/>
        </w:rPr>
        <w:t>получили</w:t>
      </w:r>
      <w:proofErr w:type="gramEnd"/>
      <w:r w:rsidRPr="00965E4B">
        <w:rPr>
          <w:rFonts w:ascii="Times New Roman" w:hAnsi="Times New Roman" w:cs="Times New Roman"/>
          <w:sz w:val="24"/>
          <w:szCs w:val="24"/>
        </w:rPr>
        <w:t xml:space="preserve"> по крайней мере одну дозу изучаемого лекарственного средства, описываемого в</w:t>
      </w:r>
    </w:p>
    <w:p w:rsidR="00965E4B" w:rsidRPr="00965E4B" w:rsidRDefault="00965E4B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E4B"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 w:rsidRPr="00965E4B">
        <w:rPr>
          <w:rFonts w:ascii="Times New Roman" w:hAnsi="Times New Roman" w:cs="Times New Roman"/>
          <w:sz w:val="24"/>
          <w:szCs w:val="24"/>
        </w:rPr>
        <w:t>. Для каждой когорты (с ингибиторами и без ингибиторов) анализ и отчёт по нему будут раздельными, с группировкой в зависимости от фактически полученного лечения.</w:t>
      </w:r>
    </w:p>
    <w:p w:rsidR="0049785A" w:rsidRDefault="00965E4B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E4B">
        <w:rPr>
          <w:rFonts w:ascii="Times New Roman" w:hAnsi="Times New Roman" w:cs="Times New Roman"/>
          <w:sz w:val="24"/>
          <w:szCs w:val="24"/>
        </w:rPr>
        <w:t>Последовательность участия пациентов в этом исследовании будет изображена в диаграмме «CONSORT». Будут чётко изображены сведения обо всех пациентах, включённых в исследование, и завершивших каждую из его фаз. Кроме того, будут описаны причины досрочной отмены исследуемой терапии и причины выхода из исследования (например, во время наблюдения).</w:t>
      </w:r>
    </w:p>
    <w:p w:rsidR="003E5C90" w:rsidRDefault="003E5C90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764" w:rsidRDefault="00C7136B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 w:rsidRPr="00C7136B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Pr="00C7136B">
        <w:rPr>
          <w:rFonts w:ascii="Times New Roman" w:hAnsi="Times New Roman" w:cs="Times New Roman"/>
          <w:sz w:val="24"/>
          <w:szCs w:val="24"/>
        </w:rPr>
        <w:t xml:space="preserve"> А.К.</w:t>
      </w:r>
      <w:r w:rsidR="00C752CE">
        <w:rPr>
          <w:rFonts w:ascii="Times New Roman" w:hAnsi="Times New Roman" w:cs="Times New Roman"/>
          <w:sz w:val="24"/>
          <w:szCs w:val="24"/>
        </w:rPr>
        <w:t xml:space="preserve">: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Степень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0A38C4" w:rsidRPr="000A38C4">
        <w:rPr>
          <w:rFonts w:ascii="Times New Roman" w:hAnsi="Times New Roman" w:cs="Times New Roman"/>
          <w:color w:val="000000"/>
          <w:sz w:val="24"/>
          <w:szCs w:val="24"/>
        </w:rPr>
        <w:t>Потенциальный риск</w:t>
      </w:r>
      <w:r w:rsidR="000A38C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73031" w:rsidRPr="00673031" w:rsidRDefault="005916A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73031" w:rsidRPr="00673031">
        <w:rPr>
          <w:rFonts w:ascii="Times New Roman" w:hAnsi="Times New Roman" w:cs="Times New Roman"/>
          <w:sz w:val="24"/>
          <w:szCs w:val="24"/>
        </w:rPr>
        <w:t xml:space="preserve">Популяция оценки безопасности: все включённые пациенты, </w:t>
      </w:r>
      <w:proofErr w:type="gramStart"/>
      <w:r w:rsidR="00673031" w:rsidRPr="00673031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="00673031" w:rsidRPr="00673031">
        <w:rPr>
          <w:rFonts w:ascii="Times New Roman" w:hAnsi="Times New Roman" w:cs="Times New Roman"/>
          <w:sz w:val="24"/>
          <w:szCs w:val="24"/>
        </w:rPr>
        <w:t xml:space="preserve"> по крайней мере одну дозу изучаемого лекарственного средства, описываемого в протоколе.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>Анализ исходов / параметров, относящихся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>к безопасности, основан на частоте и тяжести всех нежелательных явлений, серьезных нежелательных явлений, а также нежелательных явлений согласно критериям NCI CTCAE в версии 5.0.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 xml:space="preserve">Частота нежелательных явлений и  серьезных нежелательных явлений будет обобщена по классам систем органов, а также в пределах каждого класса систем органов, по предпочтительным терминам согласно </w:t>
      </w:r>
      <w:proofErr w:type="spellStart"/>
      <w:r w:rsidRPr="00673031">
        <w:rPr>
          <w:rFonts w:ascii="Times New Roman" w:hAnsi="Times New Roman" w:cs="Times New Roman"/>
          <w:sz w:val="24"/>
          <w:szCs w:val="24"/>
        </w:rPr>
        <w:t>MedDRA</w:t>
      </w:r>
      <w:proofErr w:type="spellEnd"/>
      <w:r w:rsidRPr="00673031">
        <w:rPr>
          <w:rFonts w:ascii="Times New Roman" w:hAnsi="Times New Roman" w:cs="Times New Roman"/>
          <w:sz w:val="24"/>
          <w:szCs w:val="24"/>
        </w:rPr>
        <w:t xml:space="preserve">. Время до развития первого эпизода  нежелательного явления будет обобщено по методу </w:t>
      </w:r>
      <w:proofErr w:type="spellStart"/>
      <w:r w:rsidRPr="00673031">
        <w:rPr>
          <w:rFonts w:ascii="Times New Roman" w:hAnsi="Times New Roman" w:cs="Times New Roman"/>
          <w:sz w:val="24"/>
          <w:szCs w:val="24"/>
        </w:rPr>
        <w:t>КапланаМейера</w:t>
      </w:r>
      <w:proofErr w:type="spellEnd"/>
      <w:r w:rsidRPr="00673031">
        <w:rPr>
          <w:rFonts w:ascii="Times New Roman" w:hAnsi="Times New Roman" w:cs="Times New Roman"/>
          <w:sz w:val="24"/>
          <w:szCs w:val="24"/>
        </w:rPr>
        <w:t>, с графическим отображением результатов.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>Для каждого изучаемого режима лечения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>будет представлена частота событий на 100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>человеко-лет (проведения лечения), с определением соответствующих 95% доверительных интервалов.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 xml:space="preserve">В случае необходимости сравнить безопасность различных режимов лечения, могут быть использованы методы количественной оценки вероятности, чтобы определить </w:t>
      </w:r>
      <w:proofErr w:type="spellStart"/>
      <w:r w:rsidRPr="00673031">
        <w:rPr>
          <w:rFonts w:ascii="Times New Roman" w:hAnsi="Times New Roman" w:cs="Times New Roman"/>
          <w:sz w:val="24"/>
          <w:szCs w:val="24"/>
        </w:rPr>
        <w:t>субпопуляцию</w:t>
      </w:r>
      <w:proofErr w:type="spellEnd"/>
      <w:r w:rsidRPr="00673031">
        <w:rPr>
          <w:rFonts w:ascii="Times New Roman" w:hAnsi="Times New Roman" w:cs="Times New Roman"/>
          <w:sz w:val="24"/>
          <w:szCs w:val="24"/>
        </w:rPr>
        <w:t xml:space="preserve"> сравнимых пациентов (в пределах каждого режима лечения).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lastRenderedPageBreak/>
        <w:t>В случае расхождений значимых демографических параметров (т.е. потенциально ограничивающих интерпретацию), будет проведена коррекция по этим различиям с помощью процедуры сопоставления или весовых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>коэффициентов. Параметрами, ограничивающими интерпретацию, предположительно являются (не ограничиваясь этими примерами) возраст, этническая принадлежность, страна, а также количество кровотечений за 24 недели, предшествующие участию в исследовании.</w:t>
      </w:r>
    </w:p>
    <w:p w:rsidR="00673031" w:rsidRPr="00673031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031">
        <w:rPr>
          <w:rFonts w:ascii="Times New Roman" w:hAnsi="Times New Roman" w:cs="Times New Roman"/>
          <w:sz w:val="24"/>
          <w:szCs w:val="24"/>
        </w:rPr>
        <w:t>Кроме того, будет проведен анализ каждой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 xml:space="preserve">первичной и вторичной конечной точки </w:t>
      </w:r>
      <w:proofErr w:type="gramStart"/>
      <w:r w:rsidRPr="006730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764" w:rsidRDefault="00673031" w:rsidP="00EA55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031">
        <w:rPr>
          <w:rFonts w:ascii="Times New Roman" w:hAnsi="Times New Roman" w:cs="Times New Roman"/>
          <w:sz w:val="24"/>
          <w:szCs w:val="24"/>
        </w:rPr>
        <w:t>субпопуляции</w:t>
      </w:r>
      <w:proofErr w:type="spellEnd"/>
      <w:r w:rsidRPr="00673031">
        <w:rPr>
          <w:rFonts w:ascii="Times New Roman" w:hAnsi="Times New Roman" w:cs="Times New Roman"/>
          <w:sz w:val="24"/>
          <w:szCs w:val="24"/>
        </w:rPr>
        <w:t>, соблюдающей режим лечения согласно Краткой Характеристике Препарата. При наличии различий между регионами будет проведен отдельный анализ приверженности режиму и соответствия Краткой Характеристике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>Препарата, чтобы принять во внимание эти</w:t>
      </w:r>
      <w:r w:rsidR="00EA5556">
        <w:rPr>
          <w:rFonts w:ascii="Times New Roman" w:hAnsi="Times New Roman" w:cs="Times New Roman"/>
          <w:sz w:val="24"/>
          <w:szCs w:val="24"/>
        </w:rPr>
        <w:t xml:space="preserve"> </w:t>
      </w:r>
      <w:r w:rsidRPr="00673031">
        <w:rPr>
          <w:rFonts w:ascii="Times New Roman" w:hAnsi="Times New Roman" w:cs="Times New Roman"/>
          <w:sz w:val="24"/>
          <w:szCs w:val="24"/>
        </w:rPr>
        <w:t>региональные особенности.</w:t>
      </w:r>
    </w:p>
    <w:p w:rsidR="00F1013B" w:rsidRDefault="009B34B7" w:rsidP="00EA5556">
      <w:pPr>
        <w:widowControl w:val="0"/>
        <w:shd w:val="clear" w:color="auto" w:fill="FFFFFF"/>
        <w:autoSpaceDE w:val="0"/>
        <w:autoSpaceDN w:val="0"/>
        <w:adjustRightInd w:val="0"/>
        <w:ind w:right="-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DC" w:rsidRDefault="007C53DC" w:rsidP="004814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 w:rsidRPr="007C53DC"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 w:rsidRPr="007C53DC">
        <w:rPr>
          <w:rFonts w:ascii="Times New Roman" w:hAnsi="Times New Roman" w:cs="Times New Roman"/>
          <w:sz w:val="24"/>
          <w:szCs w:val="24"/>
        </w:rPr>
        <w:t xml:space="preserve"> Б.М.</w:t>
      </w:r>
      <w:r w:rsidR="00AB2D0E" w:rsidRPr="00AB2D0E">
        <w:t xml:space="preserve"> </w:t>
      </w:r>
      <w:r w:rsidR="00AB2D0E" w:rsidRPr="00AB2D0E">
        <w:rPr>
          <w:rFonts w:ascii="Times New Roman" w:hAnsi="Times New Roman" w:cs="Times New Roman"/>
          <w:sz w:val="24"/>
          <w:szCs w:val="24"/>
        </w:rPr>
        <w:t>Потенциальная польза для участника?</w:t>
      </w:r>
    </w:p>
    <w:p w:rsidR="007350CC" w:rsidRDefault="007350CC" w:rsidP="004814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0CC" w:rsidRDefault="007350CC" w:rsidP="004814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0CC">
        <w:rPr>
          <w:rFonts w:ascii="Times New Roman" w:hAnsi="Times New Roman" w:cs="Times New Roman"/>
          <w:sz w:val="24"/>
          <w:szCs w:val="24"/>
        </w:rPr>
        <w:t>Польза для пациентов проанализировать число всех кровотечений, по поводу которых проведена терапия, на основании среднегодовой частоты кровотечений (ABR) у пациентов с гемофилией A в зависимости от типа лечения</w:t>
      </w:r>
    </w:p>
    <w:p w:rsidR="007C53DC" w:rsidRDefault="007C53DC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13B" w:rsidRDefault="009B34B7" w:rsidP="004814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 </w:t>
      </w:r>
      <w:r w:rsidRPr="0001476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Информационное сог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ласие на участие в исследовании?</w:t>
      </w:r>
    </w:p>
    <w:p w:rsidR="00F1013B" w:rsidRDefault="00F1013B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p w:rsidR="0089504B" w:rsidRPr="0089504B" w:rsidRDefault="009B34B7" w:rsidP="00481456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</w:t>
      </w:r>
      <w:r w:rsidRPr="009B34B7">
        <w:rPr>
          <w:rFonts w:ascii="Times New Roman" w:hAnsi="Times New Roman" w:cs="Times New Roman"/>
          <w:sz w:val="24"/>
          <w:szCs w:val="24"/>
        </w:rPr>
        <w:t xml:space="preserve"> </w:t>
      </w:r>
      <w:r w:rsidR="0089504B" w:rsidRPr="0089504B">
        <w:rPr>
          <w:rFonts w:ascii="Times New Roman" w:hAnsi="Times New Roman" w:cs="Times New Roman"/>
          <w:sz w:val="24"/>
          <w:szCs w:val="24"/>
        </w:rPr>
        <w:t xml:space="preserve">Формы согласий должны подписываться и датироваться пациентом или законным представителем пациента до начала регистрации данных пациента в </w:t>
      </w:r>
      <w:proofErr w:type="spellStart"/>
      <w:r w:rsidR="0089504B" w:rsidRPr="0089504B">
        <w:rPr>
          <w:rFonts w:ascii="Times New Roman" w:hAnsi="Times New Roman" w:cs="Times New Roman"/>
          <w:sz w:val="24"/>
          <w:szCs w:val="24"/>
        </w:rPr>
        <w:t>эИРК</w:t>
      </w:r>
      <w:proofErr w:type="spellEnd"/>
      <w:r w:rsidR="0089504B" w:rsidRPr="0089504B">
        <w:rPr>
          <w:rFonts w:ascii="Times New Roman" w:hAnsi="Times New Roman" w:cs="Times New Roman"/>
          <w:sz w:val="24"/>
          <w:szCs w:val="24"/>
        </w:rPr>
        <w:t xml:space="preserve">. В истории болезни или клинических записях каждого пациента должен быть задокументирован процесс информированного согласия и должно быть указано, что письменное информированное согласие было получено до первого внесения данных этого пациента в </w:t>
      </w:r>
      <w:proofErr w:type="spellStart"/>
      <w:r w:rsidR="0089504B" w:rsidRPr="0089504B">
        <w:rPr>
          <w:rFonts w:ascii="Times New Roman" w:hAnsi="Times New Roman" w:cs="Times New Roman"/>
          <w:sz w:val="24"/>
          <w:szCs w:val="24"/>
        </w:rPr>
        <w:t>эИРК</w:t>
      </w:r>
      <w:proofErr w:type="spellEnd"/>
      <w:r w:rsidR="0089504B" w:rsidRPr="0089504B">
        <w:rPr>
          <w:rFonts w:ascii="Times New Roman" w:hAnsi="Times New Roman" w:cs="Times New Roman"/>
          <w:sz w:val="24"/>
          <w:szCs w:val="24"/>
        </w:rPr>
        <w:t>.</w:t>
      </w:r>
    </w:p>
    <w:p w:rsidR="0089504B" w:rsidRPr="0089504B" w:rsidRDefault="0089504B" w:rsidP="00481456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04B">
        <w:rPr>
          <w:rFonts w:ascii="Times New Roman" w:hAnsi="Times New Roman" w:cs="Times New Roman"/>
          <w:sz w:val="24"/>
          <w:szCs w:val="24"/>
        </w:rPr>
        <w:t xml:space="preserve">Подписывая форму, пациенты подтверждают, что они проинформированы об исследовании и согласны на </w:t>
      </w:r>
      <w:proofErr w:type="spellStart"/>
      <w:r w:rsidRPr="0089504B">
        <w:rPr>
          <w:rFonts w:ascii="Times New Roman" w:hAnsi="Times New Roman" w:cs="Times New Roman"/>
          <w:sz w:val="24"/>
          <w:szCs w:val="24"/>
        </w:rPr>
        <w:t>анонимизированный</w:t>
      </w:r>
      <w:proofErr w:type="spellEnd"/>
      <w:r w:rsidRPr="0089504B">
        <w:rPr>
          <w:rFonts w:ascii="Times New Roman" w:hAnsi="Times New Roman" w:cs="Times New Roman"/>
          <w:sz w:val="24"/>
          <w:szCs w:val="24"/>
        </w:rPr>
        <w:t xml:space="preserve"> сбор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04B">
        <w:rPr>
          <w:rFonts w:ascii="Times New Roman" w:hAnsi="Times New Roman" w:cs="Times New Roman"/>
          <w:sz w:val="24"/>
          <w:szCs w:val="24"/>
        </w:rPr>
        <w:t>объединение данных со схожими научными данными (если применимо), а также на возможность мониторных действий. Врач обязан получить письменное информированное согласие каждого пациента, участвующего в исследовании.</w:t>
      </w:r>
    </w:p>
    <w:p w:rsidR="0089504B" w:rsidRDefault="0089504B" w:rsidP="00481456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04B">
        <w:rPr>
          <w:rFonts w:ascii="Times New Roman" w:hAnsi="Times New Roman" w:cs="Times New Roman"/>
          <w:sz w:val="24"/>
          <w:szCs w:val="24"/>
        </w:rPr>
        <w:t>Копия каждой подписанной Формы согласия должна быть предоставлена пациенту или его законному представителю. Все подписанные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04B">
        <w:rPr>
          <w:rFonts w:ascii="Times New Roman" w:hAnsi="Times New Roman" w:cs="Times New Roman"/>
          <w:sz w:val="24"/>
          <w:szCs w:val="24"/>
        </w:rPr>
        <w:t>датированные Формы согласий должны храниться в файле каждого пациента или в файле исследовательского центра и должны быть доступны для верификации представителю по операциям в исследовательском центре в любой момент</w:t>
      </w:r>
    </w:p>
    <w:p w:rsidR="0009406E" w:rsidRDefault="0009406E" w:rsidP="00481456">
      <w:pPr>
        <w:pStyle w:val="aa"/>
        <w:contextualSpacing/>
        <w:jc w:val="both"/>
      </w:pPr>
      <w:proofErr w:type="spellStart"/>
      <w:r>
        <w:t>Манжуова</w:t>
      </w:r>
      <w:proofErr w:type="spellEnd"/>
      <w:r>
        <w:t xml:space="preserve"> Л.Н. Дополнение: Зарегистрированы в Центральной Комиссии по биоэтике: выписка из протокола № 13 от 23 октября 2020 г. (вх.№761 от 18.09.2020 г.)</w:t>
      </w:r>
    </w:p>
    <w:p w:rsidR="0009406E" w:rsidRDefault="0009406E" w:rsidP="00481456">
      <w:pPr>
        <w:pStyle w:val="aa"/>
        <w:contextualSpacing/>
        <w:jc w:val="both"/>
      </w:pPr>
      <w:r>
        <w:t>Получено одобрение на проведение клинического исследования «</w:t>
      </w:r>
      <w:proofErr w:type="spellStart"/>
      <w:r>
        <w:t>Проспективное</w:t>
      </w:r>
      <w:proofErr w:type="spellEnd"/>
      <w:r>
        <w:t xml:space="preserve"> </w:t>
      </w:r>
      <w:proofErr w:type="spellStart"/>
      <w:r>
        <w:t>неинтервенционное</w:t>
      </w:r>
      <w:proofErr w:type="spellEnd"/>
      <w:r>
        <w:t xml:space="preserve"> многоцентровое исследование для оценки частоты кровотечений</w:t>
      </w:r>
    </w:p>
    <w:p w:rsidR="0009406E" w:rsidRDefault="0009406E" w:rsidP="00481456">
      <w:pPr>
        <w:pStyle w:val="aa"/>
        <w:contextualSpacing/>
        <w:jc w:val="both"/>
      </w:pPr>
      <w:r>
        <w:t xml:space="preserve">и качества жизни, </w:t>
      </w:r>
      <w:proofErr w:type="gramStart"/>
      <w:r>
        <w:t>связанное</w:t>
      </w:r>
      <w:proofErr w:type="gramEnd"/>
      <w:r>
        <w:t xml:space="preserve"> со здоровьем, у пациентов с гемофилией A с ингибиторами или без них, которые получают </w:t>
      </w:r>
      <w:proofErr w:type="spellStart"/>
      <w:r>
        <w:t>Эмицизумаб</w:t>
      </w:r>
      <w:proofErr w:type="spellEnd"/>
      <w:r>
        <w:t xml:space="preserve"> и другие препараты для лечения гемофилии в условиях реальной практики» с учетом рекомендации:</w:t>
      </w:r>
    </w:p>
    <w:p w:rsidR="0009406E" w:rsidRDefault="0009406E" w:rsidP="00481456">
      <w:pPr>
        <w:pStyle w:val="aa"/>
        <w:contextualSpacing/>
        <w:jc w:val="both"/>
      </w:pPr>
      <w:r>
        <w:t xml:space="preserve">- Форму сокращенного согласия для детей нужно привести в соответствие </w:t>
      </w:r>
      <w:proofErr w:type="gramStart"/>
      <w:r>
        <w:t>с</w:t>
      </w:r>
      <w:proofErr w:type="gramEnd"/>
    </w:p>
    <w:p w:rsidR="0009406E" w:rsidRDefault="0009406E" w:rsidP="00481456">
      <w:pPr>
        <w:pStyle w:val="aa"/>
        <w:contextualSpacing/>
        <w:jc w:val="both"/>
      </w:pPr>
      <w:r>
        <w:t>законодательством РК (отсутствует понятие сокращенного согласия);</w:t>
      </w:r>
    </w:p>
    <w:p w:rsidR="0009406E" w:rsidRDefault="0009406E" w:rsidP="00481456">
      <w:pPr>
        <w:pStyle w:val="aa"/>
        <w:contextualSpacing/>
        <w:jc w:val="both"/>
      </w:pPr>
      <w:r>
        <w:lastRenderedPageBreak/>
        <w:t>- дать разъяснения по процедуре его получения у ребенка при участии врача и родителей</w:t>
      </w:r>
    </w:p>
    <w:p w:rsidR="001E22A7" w:rsidRPr="001E22A7" w:rsidRDefault="0009406E" w:rsidP="00481456">
      <w:pPr>
        <w:pStyle w:val="aa"/>
        <w:contextualSpacing/>
        <w:jc w:val="both"/>
      </w:pPr>
      <w:r>
        <w:t>при Министерстве здравоохранения Республики Казахстан.</w:t>
      </w:r>
    </w:p>
    <w:p w:rsidR="00C02275" w:rsidRDefault="00C02275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4BE8" w:rsidRDefault="00DA4BE8" w:rsidP="00DA4BE8">
      <w:pPr>
        <w:tabs>
          <w:tab w:val="left" w:pos="178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C02275">
        <w:rPr>
          <w:rFonts w:ascii="Times New Roman" w:hAnsi="Times New Roman" w:cs="Times New Roman"/>
          <w:sz w:val="24"/>
          <w:szCs w:val="24"/>
        </w:rPr>
        <w:t>комиссии</w:t>
      </w:r>
      <w:r w:rsidR="0089504B" w:rsidRPr="0089504B">
        <w:rPr>
          <w:rFonts w:ascii="Times New Roman" w:hAnsi="Times New Roman" w:cs="Times New Roman"/>
          <w:sz w:val="24"/>
          <w:szCs w:val="24"/>
        </w:rPr>
        <w:t xml:space="preserve">: </w:t>
      </w:r>
      <w:r w:rsidRPr="00DA4BE8">
        <w:rPr>
          <w:rFonts w:ascii="Times New Roman" w:hAnsi="Times New Roman" w:cs="Times New Roman"/>
          <w:sz w:val="24"/>
          <w:szCs w:val="24"/>
        </w:rPr>
        <w:t>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A4BE8" w:rsidRDefault="00DA4BE8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2772" w:rsidRDefault="00DA4BE8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89504B" w:rsidRPr="0089504B">
        <w:rPr>
          <w:rFonts w:ascii="Times New Roman" w:hAnsi="Times New Roman" w:cs="Times New Roman"/>
          <w:sz w:val="24"/>
          <w:szCs w:val="24"/>
        </w:rPr>
        <w:t>одобрено, единогласно</w:t>
      </w:r>
    </w:p>
    <w:p w:rsidR="00C02275" w:rsidRDefault="00C02275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275" w:rsidRDefault="00C02275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23" w:rsidRDefault="00094423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члены ЛЭК и приглашенные:</w:t>
      </w: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С.Б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Мусабалина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А.З.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672B15">
        <w:rPr>
          <w:rFonts w:ascii="Times New Roman" w:hAnsi="Times New Roman" w:cs="Times New Roman"/>
          <w:sz w:val="24"/>
          <w:szCs w:val="24"/>
        </w:rPr>
        <w:t>.</w:t>
      </w:r>
    </w:p>
    <w:p w:rsidR="00672B15" w:rsidRDefault="00672B15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8565CE" w:rsidRDefault="00EF3F1A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D5AFF">
        <w:rPr>
          <w:rFonts w:ascii="Times New Roman" w:hAnsi="Times New Roman" w:cs="Times New Roman"/>
          <w:sz w:val="24"/>
          <w:szCs w:val="24"/>
        </w:rPr>
        <w:t>Мынжасар</w:t>
      </w:r>
      <w:proofErr w:type="spellEnd"/>
      <w:r w:rsidRPr="00DD5AFF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672B15" w:rsidRDefault="00672B15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3D5" w:rsidRPr="008565CE" w:rsidRDefault="008565CE" w:rsidP="008565CE">
      <w:pPr>
        <w:tabs>
          <w:tab w:val="left" w:pos="1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F3F1A">
        <w:rPr>
          <w:rFonts w:ascii="Times New Roman" w:hAnsi="Times New Roman" w:cs="Times New Roman"/>
          <w:sz w:val="24"/>
          <w:szCs w:val="24"/>
        </w:rPr>
        <w:t>атель заседания: Сулейманова С.Б.</w:t>
      </w:r>
    </w:p>
    <w:sectPr w:rsidR="003033D5" w:rsidRPr="008565CE" w:rsidSect="00481456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6A" w:rsidRDefault="00C9496A" w:rsidP="00FA0924">
      <w:pPr>
        <w:spacing w:after="0" w:line="240" w:lineRule="auto"/>
      </w:pPr>
      <w:r>
        <w:separator/>
      </w:r>
    </w:p>
  </w:endnote>
  <w:endnote w:type="continuationSeparator" w:id="0">
    <w:p w:rsidR="00C9496A" w:rsidRDefault="00C9496A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6A" w:rsidRDefault="00C9496A" w:rsidP="00FA0924">
      <w:pPr>
        <w:spacing w:after="0" w:line="240" w:lineRule="auto"/>
      </w:pPr>
      <w:r>
        <w:separator/>
      </w:r>
    </w:p>
  </w:footnote>
  <w:footnote w:type="continuationSeparator" w:id="0">
    <w:p w:rsidR="00C9496A" w:rsidRDefault="00C9496A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  <w:r w:rsidRPr="0044594B">
      <w:rPr>
        <w:noProof/>
        <w:lang w:eastAsia="ru-RU"/>
      </w:rPr>
      <w:drawing>
        <wp:inline distT="0" distB="0" distL="0" distR="0" wp14:anchorId="4DD6052D" wp14:editId="26916046">
          <wp:extent cx="3600450" cy="885825"/>
          <wp:effectExtent l="0" t="0" r="0" b="9525"/>
          <wp:docPr id="2" name="Рисунок 2" descr="Описание: C:\Users\001\Downloads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001\Downloads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364"/>
    <w:multiLevelType w:val="hybridMultilevel"/>
    <w:tmpl w:val="071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76D"/>
    <w:multiLevelType w:val="hybridMultilevel"/>
    <w:tmpl w:val="F23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124F9"/>
    <w:rsid w:val="00014764"/>
    <w:rsid w:val="0003064B"/>
    <w:rsid w:val="00036F22"/>
    <w:rsid w:val="00051B04"/>
    <w:rsid w:val="000701B8"/>
    <w:rsid w:val="00070DE3"/>
    <w:rsid w:val="00083C48"/>
    <w:rsid w:val="00085344"/>
    <w:rsid w:val="00086EDF"/>
    <w:rsid w:val="0009406E"/>
    <w:rsid w:val="00094423"/>
    <w:rsid w:val="00096A0C"/>
    <w:rsid w:val="000A38C4"/>
    <w:rsid w:val="000B1FA1"/>
    <w:rsid w:val="000F2648"/>
    <w:rsid w:val="000F67F3"/>
    <w:rsid w:val="00115C63"/>
    <w:rsid w:val="00122C77"/>
    <w:rsid w:val="001233DD"/>
    <w:rsid w:val="00141FFD"/>
    <w:rsid w:val="0017053A"/>
    <w:rsid w:val="00171AC5"/>
    <w:rsid w:val="0019185F"/>
    <w:rsid w:val="001A3604"/>
    <w:rsid w:val="001B06A6"/>
    <w:rsid w:val="001B33A0"/>
    <w:rsid w:val="001C274A"/>
    <w:rsid w:val="001C2772"/>
    <w:rsid w:val="001E22A7"/>
    <w:rsid w:val="00264998"/>
    <w:rsid w:val="00291A39"/>
    <w:rsid w:val="002928ED"/>
    <w:rsid w:val="002A3D46"/>
    <w:rsid w:val="002B4E86"/>
    <w:rsid w:val="002B5E90"/>
    <w:rsid w:val="002D0564"/>
    <w:rsid w:val="002D1032"/>
    <w:rsid w:val="002D69A3"/>
    <w:rsid w:val="002F62FA"/>
    <w:rsid w:val="003033D5"/>
    <w:rsid w:val="0034586D"/>
    <w:rsid w:val="003C5DA5"/>
    <w:rsid w:val="003E5C90"/>
    <w:rsid w:val="00402E0C"/>
    <w:rsid w:val="00413D6D"/>
    <w:rsid w:val="00421ACE"/>
    <w:rsid w:val="00430004"/>
    <w:rsid w:val="00432917"/>
    <w:rsid w:val="00446DCE"/>
    <w:rsid w:val="00464D50"/>
    <w:rsid w:val="00481456"/>
    <w:rsid w:val="0049785A"/>
    <w:rsid w:val="004D13BC"/>
    <w:rsid w:val="004D56CA"/>
    <w:rsid w:val="004E0387"/>
    <w:rsid w:val="00503F29"/>
    <w:rsid w:val="00517C23"/>
    <w:rsid w:val="00546B1B"/>
    <w:rsid w:val="0054756D"/>
    <w:rsid w:val="00553EEF"/>
    <w:rsid w:val="005578CA"/>
    <w:rsid w:val="005916A1"/>
    <w:rsid w:val="005B3A8F"/>
    <w:rsid w:val="005C7F2F"/>
    <w:rsid w:val="005E6A7E"/>
    <w:rsid w:val="005E7060"/>
    <w:rsid w:val="005F2359"/>
    <w:rsid w:val="0061443D"/>
    <w:rsid w:val="00626C5C"/>
    <w:rsid w:val="00644395"/>
    <w:rsid w:val="00647545"/>
    <w:rsid w:val="00650E30"/>
    <w:rsid w:val="00664F8F"/>
    <w:rsid w:val="00671D5D"/>
    <w:rsid w:val="00672B15"/>
    <w:rsid w:val="00673031"/>
    <w:rsid w:val="00687613"/>
    <w:rsid w:val="006F3630"/>
    <w:rsid w:val="007249FB"/>
    <w:rsid w:val="007314BC"/>
    <w:rsid w:val="007350CC"/>
    <w:rsid w:val="007442FD"/>
    <w:rsid w:val="0076227D"/>
    <w:rsid w:val="007656A6"/>
    <w:rsid w:val="0079043D"/>
    <w:rsid w:val="007C53DC"/>
    <w:rsid w:val="007D21F3"/>
    <w:rsid w:val="007E5176"/>
    <w:rsid w:val="007F2E24"/>
    <w:rsid w:val="008565CE"/>
    <w:rsid w:val="0089504B"/>
    <w:rsid w:val="00907D14"/>
    <w:rsid w:val="009431F8"/>
    <w:rsid w:val="00944668"/>
    <w:rsid w:val="00955725"/>
    <w:rsid w:val="00964202"/>
    <w:rsid w:val="00965E4B"/>
    <w:rsid w:val="009715ED"/>
    <w:rsid w:val="00981788"/>
    <w:rsid w:val="00983133"/>
    <w:rsid w:val="009A62BF"/>
    <w:rsid w:val="009B089E"/>
    <w:rsid w:val="009B15D9"/>
    <w:rsid w:val="009B34B7"/>
    <w:rsid w:val="009C0C3D"/>
    <w:rsid w:val="009C2677"/>
    <w:rsid w:val="009D3CB7"/>
    <w:rsid w:val="009D4CA3"/>
    <w:rsid w:val="009E6EF2"/>
    <w:rsid w:val="009E70D5"/>
    <w:rsid w:val="009F7AC1"/>
    <w:rsid w:val="00A257E2"/>
    <w:rsid w:val="00A91152"/>
    <w:rsid w:val="00AB2D0E"/>
    <w:rsid w:val="00AB4561"/>
    <w:rsid w:val="00AC00C5"/>
    <w:rsid w:val="00B0094C"/>
    <w:rsid w:val="00B05D03"/>
    <w:rsid w:val="00B157B6"/>
    <w:rsid w:val="00B16554"/>
    <w:rsid w:val="00B62F00"/>
    <w:rsid w:val="00B67F15"/>
    <w:rsid w:val="00B70792"/>
    <w:rsid w:val="00B76A3D"/>
    <w:rsid w:val="00BC2926"/>
    <w:rsid w:val="00BD32A5"/>
    <w:rsid w:val="00BD35BE"/>
    <w:rsid w:val="00BE26A5"/>
    <w:rsid w:val="00BE6389"/>
    <w:rsid w:val="00C00DA7"/>
    <w:rsid w:val="00C02275"/>
    <w:rsid w:val="00C02AA7"/>
    <w:rsid w:val="00C560C3"/>
    <w:rsid w:val="00C7136B"/>
    <w:rsid w:val="00C752CE"/>
    <w:rsid w:val="00C9496A"/>
    <w:rsid w:val="00CC1D81"/>
    <w:rsid w:val="00CE0EFC"/>
    <w:rsid w:val="00D0043F"/>
    <w:rsid w:val="00D02B2F"/>
    <w:rsid w:val="00D23C9E"/>
    <w:rsid w:val="00D33A47"/>
    <w:rsid w:val="00D60403"/>
    <w:rsid w:val="00D6641F"/>
    <w:rsid w:val="00DA4BE8"/>
    <w:rsid w:val="00DA5CA7"/>
    <w:rsid w:val="00DE01E2"/>
    <w:rsid w:val="00E140CC"/>
    <w:rsid w:val="00E24DB3"/>
    <w:rsid w:val="00E660D9"/>
    <w:rsid w:val="00E9344B"/>
    <w:rsid w:val="00E95F5A"/>
    <w:rsid w:val="00EA1DD4"/>
    <w:rsid w:val="00EA5556"/>
    <w:rsid w:val="00EA6EF8"/>
    <w:rsid w:val="00ED05E3"/>
    <w:rsid w:val="00EE5A01"/>
    <w:rsid w:val="00EF2329"/>
    <w:rsid w:val="00EF3F1A"/>
    <w:rsid w:val="00F1013B"/>
    <w:rsid w:val="00F311B7"/>
    <w:rsid w:val="00F4081B"/>
    <w:rsid w:val="00F46DEE"/>
    <w:rsid w:val="00FA0924"/>
    <w:rsid w:val="00FC2EEF"/>
    <w:rsid w:val="00FD3393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Hirurgia_PC3</cp:lastModifiedBy>
  <cp:revision>206</cp:revision>
  <dcterms:created xsi:type="dcterms:W3CDTF">2020-06-26T07:22:00Z</dcterms:created>
  <dcterms:modified xsi:type="dcterms:W3CDTF">2020-12-09T07:55:00Z</dcterms:modified>
</cp:coreProperties>
</file>