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B7081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№</w:t>
      </w:r>
      <w:r w:rsidR="000E5618" w:rsidRPr="000E5618">
        <w:rPr>
          <w:rFonts w:ascii="Times New Roman" w:hAnsi="Times New Roman"/>
          <w:sz w:val="24"/>
          <w:szCs w:val="24"/>
        </w:rPr>
        <w:t>3</w:t>
      </w:r>
      <w:r w:rsidR="00B70813">
        <w:rPr>
          <w:rFonts w:ascii="Times New Roman" w:hAnsi="Times New Roman"/>
          <w:sz w:val="24"/>
          <w:szCs w:val="24"/>
          <w:lang w:val="kk-KZ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B708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E5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апреля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3F6356" w:rsidRPr="00A315A9" w:rsidRDefault="003F6356" w:rsidP="00E0015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503" w:type="dxa"/>
        <w:tblInd w:w="95" w:type="dxa"/>
        <w:tblLook w:val="04A0"/>
      </w:tblPr>
      <w:tblGrid>
        <w:gridCol w:w="580"/>
        <w:gridCol w:w="2127"/>
        <w:gridCol w:w="3138"/>
        <w:gridCol w:w="831"/>
        <w:gridCol w:w="1134"/>
        <w:gridCol w:w="1276"/>
        <w:gridCol w:w="1417"/>
      </w:tblGrid>
      <w:tr w:rsidR="00A315A9" w:rsidRPr="00A315A9" w:rsidTr="00A315A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Краткая характеристика (описание)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Ед. </w:t>
            </w:r>
            <w:proofErr w:type="spellStart"/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Сумма, тенге</w:t>
            </w:r>
          </w:p>
        </w:tc>
      </w:tr>
      <w:tr w:rsidR="00A315A9" w:rsidRPr="00A315A9" w:rsidTr="00A315A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CD5 FITC,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CD5 клон L17F12,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CD5,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концентрация  5 μg/mL. На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240 210,00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720 630,00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CD2 FITC, 100 tests+2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 клон S5.2,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концентрация 12.5 μg/mL. На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240 210,00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240 210,00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CD4 FITC,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2- 8С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CD4  клон SK3(Leu3a),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.концентрация 3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240 210,00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240 210,00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CD7 FITC,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CD7 клон M-T701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CD7,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.концентрация 12.5 μg/mL На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408 540,00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CD8 PE,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CD8  клон SK1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РЕ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CD8,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.концентрация 12.5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CD22APC,100 tests+2+8C CD22APC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CD22 клон S-HCL-1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АРС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CD22,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25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CD10 FITC,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+2+8C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CD10  клон HI10a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CD10,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12.5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272 360,00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CD11c PE,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2-8C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CD11c  клон S-HCL-3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CD11c,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12.5 μg/mL На100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818 970,00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CD13 PE,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+2 +8C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CD13 клон L138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CD13,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25 μg/mL На100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545 980,00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CD15 FITC,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2- 8С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CD15 клон MMA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CD15,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100 μg/mL На100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CD19 PE,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CD19 клон SJ25C1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CD19,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12.5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158 875,00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АРС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Mouse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Anti-Human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CD20  клон L27,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APC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CD20,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На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274 000,00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 34PE-Cy7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CD34 клон 8G12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PE-Cy7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50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311 450,00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CD22 PE,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2- 8С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CD22 клон S-HCL-1   , </w:t>
            </w: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 xml:space="preserve">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CD22,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 12.5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CD33 PE,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2- 8С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CD33  клон P67.6 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CD33,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 12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CD34 (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Anti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–HPCA-2) PE,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CD34  клон 8G12  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  25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CD117 PE,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CD117 клон 104D2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CD117,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  10 μg/mL, На 50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476 400,00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CD38 FITC,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CD38 клон HB7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CD38,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6 μg/mL, На 50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272 360,00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CD45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PerCP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CD45 клон 2D1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PerCP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CD45,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25 μg/mL, На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3 005 330,00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CD79a PE CE,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CD79a клон HM47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CD79a,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1.6 μg/mL, На 50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476 400,00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anti-myeloperoxidase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миелопероксидазе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клон  5B8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миелопероксидазу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3 μg/mL, На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317 600,00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anti-TdT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Fitc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TdT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клон  E17-1519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TdT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12.5 μg/mL, На 50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272 360,00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anti-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glycophorin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A (HIR-2) PE (CD1a)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гликофорину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 клон  GA-R2 (HIR2)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Гликофорина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25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µg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На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158 800,00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simultest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anti-kappa/anti-lambda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Kappa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 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Lambda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цепям клон TB28-2, 1-155-2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и PE для определения соотношения каппа 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лямбла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цепей 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233 900,00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CD3-APC-Cy7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 клон  SK7 ( Leu-4)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APC-Cy7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311 450,00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anti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HLA- DR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Fitc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 антитела к HLA-DR клон  L243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HLA-DR,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25 μg/mL, На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493 020,00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anti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Fitc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клон  G20-127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457 710,00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permeablixing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Solution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готовый к использованию концентрированный (10Х)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Пермеабилизирующий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раствор содержащего менее 15% формальдегида и менее 50%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диэтиленгликоля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пермеабилизирующий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агент для использования в проточной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цитометрии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предназначен для проникновения через мембраны лейкоцитов для внутриклеточного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иммунофлуоресцентного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окрашивания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моноклональными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антителами. 100ml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1 916 530,00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Lysing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solution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Лизирующий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раствор предназначен  для  лизиса эритроцитов после окрашивания  периферической  крови  человека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моноклональными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антителами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,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меченными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флуорохромами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Представляет собой 10-кратный концентра буферного объемом 100  мл, содержащего  &lt; 15 %   формальдегида  и   &lt; 50 %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диэтиленгликоля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145 260,00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1 743 120,00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Wash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Готовый к использованию раствор для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пробоподготовки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представляющий собой PBS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П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оставляется в пластиковых контейнерах объемом  5 л,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431 110,00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FACS FLOW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  <w:t xml:space="preserve">Готовый к использованию сбалансированный раствор для обслуживания </w:t>
            </w:r>
            <w:proofErr w:type="gramStart"/>
            <w:r w:rsidRPr="00A315A9"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  <w:t>проточных</w:t>
            </w:r>
            <w:proofErr w:type="gramEnd"/>
            <w:r w:rsidRPr="00A315A9"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  <w:t>цитометров</w:t>
            </w:r>
            <w:proofErr w:type="spellEnd"/>
            <w:r w:rsidRPr="00A315A9"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  <w:t xml:space="preserve"> BD FACS. Обеспечивает минимальный фоновый сигнал и оптимальное флуоресцентное разделение. Поставляется в пластиковых контейнерах объемом  20 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490 960,00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CD20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Fitc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клон  L27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CD20,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    50 μg/mL, На 100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739 530,00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</w:t>
            </w: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реагентов</w:t>
            </w:r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BD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Simultest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IMK Plus Kit, 50 tests  +2 +8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</w:t>
            </w: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определения  в процентном соотношении таких популяций клеток: Т-лимфоциты (CD3 +),  В-лимфоциты (CD19 +), лимфоцитов- хелперов/активаторов  (CD4+),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супрессорных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/цитотоксических лимфоцитов (CD8+) и естественных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киллеров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(NK) (CD16+  или CD56+, либо оба вида данных лимфоцитов), активированных клеток (HLA-DR). Содержит также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изотипический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контроль и реагенты для определения лейкоцитарного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гейта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(CD45/CD14). На 50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675 240,00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4 726 680,00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2060"/>
                <w:sz w:val="18"/>
                <w:szCs w:val="20"/>
                <w:lang w:eastAsia="ru-RU"/>
              </w:rPr>
              <w:t>CD22Fitc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CD22 клон S-HCL-1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CD22,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12.5 μg/mL,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467 800,00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Очищающий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р-р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Facs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Clean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Готовый к использованию бесцветный очищающий раствор  Поставляется в пластиковый контейнерах объемом  5 л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содержит гипохлорит натрия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361 830,00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CD23-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CD23  клон EBVCS-5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CD23,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 12.5 μg/mL. На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158 870,00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CD38 PE-Cy7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CD38  клон HIT2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PE-Cy7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CD38,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122 310,00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CD20 PE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CD20 клон L27,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CD20,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концентрация  25 μg/mL. На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153 318,00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459 954,00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Multitest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6-color TBNK with BD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trucount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tubes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предназначен для определения иммунного статуса, и позволяет проводить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шестицветный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анализ  в одной пробирке. Набор реагентов позволяет идентифицировать и количественно определить популяции лимфоцитов: В-клетки, NK- клетки, Т-клетки, включая цитотоксические Т-клетки, Т-хелперы. Набор реагентов содержит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моноклональные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антитела, меченные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флуорохромами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: CD3-FITC клон SK7, CD16-PE клон B73 и CD56-PE клон NCAM 16.2,  CD45-PerCP-Cy5.5 клон 2D1 (HLe-1), CD4-PE-Cy7 клон SK3,  CD19-APC клон SJ25C125 ,  CD8-APC-Cy7 клон SK1 и пробирки, содержащие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референсные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частицы для абсолютного подсчета клеток. Набор реагентов рассчитан на 50 определений. Набор реагентов позволяет определять абсолютное количество клеток в интересующих популяциях. Набор реагентов   поставляется в  1 мл  буферном солевом растворе с 0,1 % азида натрия.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772 260,00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1 544 520,00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для настройки прибора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CompBead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Частицы для настройки и контроля работы  проточного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цитометра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каждом флаконе с гранулами содержатся равные концентрации гранул с тремя интенсивностями эмиссии флуоресценции: яркий, средний и слабый. Гранулы используются для определения фонового значения и проведения каждодневных измерений на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В каждом 3-мл флаконе содержится такое количество гранул, которое достаточно для 150 ежедневных измерений или 16 фоновых замеров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ля проточного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BD FACS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Сanto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112 220,00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112 220,00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Cytometer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setup &amp; tracking Beads kit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Частицы для настройки и контроля работы  проточного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В каждом флаконе с гранулами содержатся равные концентрации гранул с тремя интенсивностями эмиссии флуоресценции: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яркий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средний и слабый. Гранулы используются для определения фонового значения и проведения каждодневных измерений на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В каждом 3-мл флаконе содержится такое количество гранул, которое достаточно для 50 ежедневных измерений или 16 фоновых замеров.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214 360,00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214 360,00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Shutdown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solution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Готовый к использованию промывающий раствор с консервантом, использующийся для завершения работы прибора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FACSCanto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II.  Поставляется в пластиковых контейнерах объемом  5л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749 505,00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Calibration kit 7-color setup beads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Набор, содержащий  25  отдельно запакованных пробирок с калибровочными частицами  и  один  флакон с буфером для разведения частиц. Каждая пробирка с калибровочными частицами   содержит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лиофилизированный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осадок, который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регидратирует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с  разбавителем частиц непосредственно перед  настройкой проточного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каждый осадок содержит смесь неокрашенных  либо   окрашенных  одним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флуорофором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частиц  размером  4  мкм  и  6 мкм. Частицы используются для настройки яркости флуоресценции и коррекции перекрытия спектров при работе на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проточном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FACSCanto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318 380,00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318 380,00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Stem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enumerastion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kit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для количественного определения жизнеспособных стволовых клеток CD45+/CD34+ в образцах  нормальной и активированной периферической крови, свежих и размороженных продуктах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лейкофереза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костном мозге   и пуповинной крови. Реагент содержит CD45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флуоресцеин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изотиоцианат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(FITC), клон 2D1, и CD34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фикоэритрин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(РЕ), клон 8G12., 7-AAD, пробирки для абсолютного подсчета клеток.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567 420,00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1 702 260,00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BD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Calibrite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Beads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калибровочных частиц, состоящий из бесцветных латексных шариков и латексных шариков, меченных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флуорохромами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FITC, PE,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Per-CP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На 25 тестов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143 110,00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CD14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клон MφP9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 50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818 970,00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CD3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клон SK7 ( Leu-4)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12.5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545 980,00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CD34 (anti-HPCA-2)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Fitc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CD34  клон 8G12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CD34,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 25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493 020,00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CD56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CD56 клон   MY31   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CD56,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    50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272 990,00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BD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Onkomark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 xml:space="preserve"> FMC7/CD23/CD19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предназначен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иммунофенотипированияметодом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проточной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цитометрии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нормальных и аномальных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субпопуляций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лимфоцитов. Реагенты определяют экспрессию антигенов FMC7 и CD23 на нормальных и аномальных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клетках. Этот реагент поставляется в виде комбинации FMC7 FITC, CD23 PE CD19 PerCP-Cy5.5 в 1 мл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забуференного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фосфатом физиологического раствора (PBS), содержащего желатин и 0.1% азид натрия. 50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454 570,00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454 570,00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CD43PE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CD43  клон   1G10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CD43,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129 210,00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258 420,00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CD7 PE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содержащих антитела к CD7 клон M-T701,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PE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CD7,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концентрация 12.5 μg/mL. На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306 600,00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CD20 APC-Cy7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содержащих антитела к CD20 клон L27,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APC-Cy7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CD20,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. концентрация 50 μg/mL</w:t>
            </w:r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311 450,00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HLA B27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для проведения методом прямой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иммунофлуоресценции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 двухцветной меткой для быстрого количественного определения экспрессии HLA-B27 в цельной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лизированной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крови человека с помощью  проточных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цитометров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50 тестов. Для диагностики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181 570,00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363 140,00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CD4 FITC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содержащих антитела к CD4  клон SK3(Leu3a),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FITC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.концентрация 3 μg/mL</w:t>
            </w:r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241 000,00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CD25 FITC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содержащих антитела клон 2A3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CD25,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концентрация 10 μg/mL,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489 200,00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CD1a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CD1a  клон SK9,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CD1a,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25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317 740,00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CD41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CD41a клон HIP8,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CD41a,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141 220,00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CD4PE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CD4 клон SK3 (Leu3a),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CD4,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3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269 600,00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CD95 FITC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реагентов,  содержащий антитела к CD95, клон DX2  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FITC, реактивные к человеку</w:t>
            </w:r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CD95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цитометре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 50 тестов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131 450,00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CD20 APC-Cy7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CD20 клон L27,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APC-Cy7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CD20,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 концентрация 50 μg/mL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601 200,00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CD19 APC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содержащих антитела к CD19 клон SJ25C1 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APC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CD19,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. Концентрация 50 μg/mL</w:t>
            </w:r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263 440,00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263 440,00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CD42b FITC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содержащих антитела клон HIP1  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CD42b,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124 800,00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TCRab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APC, 100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tests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TCR-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alfa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beta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клон T10B9.1A-31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APC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аnti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–TCR-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alfa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beta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120 460,00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120 460,00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cd45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apc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CY7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CD45 клон  2D1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APC-Cy7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CD45,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 100 тестов. Для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vitro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диагностики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300 600,00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cd81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fitc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CD81  клон JS-81 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CD81, для анализа на проточном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152 570,00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GD2 PE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реагентов, содержащий антитела к GD2, клон M-14.G2a , 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PE для определения клеток человека,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GD2, для анализа на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проточном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50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140 590,00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CD 200 APC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 содержащих антитела к CD200 клон MRC OX-104   , реактивные к человеку, меченые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флуорохромом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APC  для определения клеток,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CD 200 для анализа на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проточном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цитофлуориметре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На 100 тестов.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362 000,00  </w:t>
            </w:r>
          </w:p>
        </w:tc>
      </w:tr>
      <w:tr w:rsidR="00A315A9" w:rsidRPr="00A315A9" w:rsidTr="00A315A9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Шовный хирургический рассасывающийся антибактериальный материал (фиолетовый) М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.5 (4/0) 70 см игла колющая 1/2 окр,17 мм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полиглактина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910 (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гликолид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90%,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лактид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гликолида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лактида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стеарата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триклозан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) проявляет клинически доказанную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антимикробную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активность против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Staphylococcus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aureus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Staphylococcus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epidermidis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MRSA, MRSE, в период не менее 96 часов после имплантации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нити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,в</w:t>
            </w:r>
            <w:proofErr w:type="spellEnd"/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триклозана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зоне подавления роста бактерий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S.aureus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вокруг нити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in-vitro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ств в пр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исутствие веществ содержащих анионную группу. Метрический размер 1,5, условный размер 4/0. Длина нити не менее 65 см и не более 75 см. Игла должна быть изготовлена из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коррозионностойкого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высокопрочного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сплава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,о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бработана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силиконом,что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травмирование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захвата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.И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гла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колющая RB-1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Plus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кончик иглы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уплощен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лучшего разделения тканей, 1/2  окружности, от 16,8 до 17,2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Специальная технология овальной укладки нити на внутреннем вкладыше должна обеспечивать ее прямолинейность после извлечения,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минимизируя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задействуя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острие иглы на внутреннем лотке,  что предотвращает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затупление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острия.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1 600,00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1 600 000,00  </w:t>
            </w:r>
          </w:p>
        </w:tc>
      </w:tr>
      <w:tr w:rsidR="00A315A9" w:rsidRPr="00A315A9" w:rsidTr="00A315A9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UF II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Sheath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готовая к использованию проточная жидкость для автоматического анализатора мочи UF-1000. Объем 20 литров.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88 448,80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2 653 464,00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UF II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Pack-SED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готовый к использованию разбавитель для мочи, необходимый для определения осадка мочи для автоматического анализатора мочи UF-1000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99 875,60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699 129,20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UF II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Pack-BAC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готовый к использованию разбавитель для мочи, необходимый для определения бактерий в осадке мочи для автоматического анализатора мочи UF-1000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84 136,80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588 957,60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UF II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Searth-SED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готовый к использованию окрашивающий реагент для мочи, необходимый для определения осадка мочи для автоматического анализатора мочи UF-1000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159 082,00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1 113 574,00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UF II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Searth-BAC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готовый к использованию окрашивающий реагент для мочи, необходимый для определения бактерий в осадке мочи для автоматического анализатора мочи UF-1000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153 098,00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1 071 686,00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UF II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Control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контрольный раствор для автоматического анализатора мочи UF-1000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150 590,00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1 505 900,00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 PACK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Разбавитель, используемый для разбавления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аспирированных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mS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cm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pH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пределах 7,75-7,85. Для гематологических анализаторов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20 л.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29 898,00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1 494 900,00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Stromatolyser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WH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Готовый к использованию реагент, для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лизирования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трехмодального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размера лейкоцитов (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лифоцитов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нейтрофилов и смешанной популяции клеток) и измерения уровня гемоглобина. Содержит соли аммония и хлорид натрия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ля 3-DIFF гематологических анализаторов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3х500 мл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yn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86 108,00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1 033 296,00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clean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Сильнощелочной очиститель,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рН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выше 12, содержащий гипохлорит натрия, используемый для удаления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реагентов, клеточных остатков и протеинов крови из гидравлической системы прибора для гематологических анализаторов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50 мл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28 419,60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284 196,00  </w:t>
            </w:r>
          </w:p>
        </w:tc>
      </w:tr>
      <w:tr w:rsidR="00A315A9" w:rsidRPr="00A315A9" w:rsidTr="00A315A9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Шовный материал шелк 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нерассасывающийся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 плетеный, стерильный, однократного применения (черный)  М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(3/0) 75см игла колющая 1/2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окр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., 20 мм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Нить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нерассасывающаяся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должна быть окрашена в контрастный цвет для лучшей визуализации в </w:t>
            </w:r>
            <w:proofErr w:type="spellStart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</w:t>
            </w:r>
            <w:proofErr w:type="spellEnd"/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ране. Метрический размер 2, условный размер 3/0. Длина нити не менее 70 см и не более 80 см. Игла должна быть изготовлена из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коррозионностойкого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высокопрочного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сплава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,о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бработана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силиконом,что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травмирование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захвата. Игла колющая SH-2, 1/2  окружности, от 19,5 до 20,5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Специальная технология овальной укладки нити на внутреннем вкладыше должна обеспечивать ее прямолинейность после извлечения,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минимизируя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задействуя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острие иглы на внутреннем лотке,  что предотвращает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затупление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острия.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1 100,00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550 000,00  </w:t>
            </w:r>
          </w:p>
        </w:tc>
      </w:tr>
      <w:tr w:rsidR="00A315A9" w:rsidRPr="00A315A9" w:rsidTr="00A315A9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контрольная кровь (уровень высокий)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Контрольная кровь (высокий уровень) для проверки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прецизионности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точности гематологических  анализаторов по 16 диагностическим и 6 сервисным параметрам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ля 3-DIFF гематологических анализаторов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52 800,00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контрольная кровь (уровень норма)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Контрольная кровь (норма)  для проверки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прецизионности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точности гематологических  анализаторов по 16 диагностическим и 6 сервисным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параметрам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3-DIFF гематологических анализаторов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52 800,00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контрольная кровь (уровень низкий)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Контрольная кровь (низкий уровень) для проверки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прецизионности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точности гематологических  анализаторов по 16 диагностическим и 6 сервисным параметрам для 3-DIFF гематологических анализаторов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52 800,00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 PACK DCL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Разбавитель цельной крови 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 для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исследовния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общего анализа крови на Автоматическом гематологическом анализаторе XN 10, XN 20 для систем XN-1000, XN-2000, XN-3000  и гематологических анализаторах XN-350, XN-450, XN-550.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700 000,00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Cellpack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DFL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Разбавитель цельной крови для анализа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ретикулоцитов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тромбоцитов для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исследовния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общего анализа крови на  автоматических гематологических анализаторах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XN 1000, 2000, 3000 и гематологических анализаторах XN-350, XN-450, XN-550..  Упаковка 1л.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380 000,00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lysercell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WDF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Лизирующий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реагент  для гемолиза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эритроцитови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окрашивания компонентов лейкоцитов для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исследовния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общего анализа крови на автоматических гематологических анализаторах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XN 1000, 2000, 3000  и гематологических анализаторах XN-350, XN-450, XN-550.  Упаковка 2л.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29 200,00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876 000,00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Fluorocell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WDF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Реагент для окрашивания лейкоцитов в разбавленных образцах крови при дифференциальном подсчете лейкоцитов по 5 популяциям с помощью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автоматическихгематологических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анализаторов XN 10, XN 20 для систем XN-1000, XN-2000, XN-3000. Упаковка 2х22 мл.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185 000,00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1 850 000,00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Fluorocell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ret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Реагент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объем 2х12 мл, для окрашивания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ретикулоцитов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разбавленных образцах крови при подсчете числа и процентного содержания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ретикулоцитов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подсчете числа тромбоцитов с помощью автоматических гематологических анализаторов XN -350, XN -450, XN-550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130 800,00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654 000,00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cellclean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Сильнощелочной очиститель  объем 50 мл,  для удаления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лизирующих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Предназначен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Sysmex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26 000,00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182 000,00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sylphalyser</w:t>
            </w:r>
            <w:proofErr w:type="spellEnd"/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Реагент для определения количества гемоглобина в автоматических гематологических анализаторах, упаковка 500 мл, нетоксичный, </w:t>
            </w:r>
            <w:proofErr w:type="gram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цианид</w:t>
            </w:r>
            <w:proofErr w:type="gram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не содержащий реагент, на основе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лаурил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сульфата натрия, обеспечивающего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лизирование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клеточных мембран эритроцитов без повреждения гемоглобина. Концентрация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лаурил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сульфата натрия-1,7 г/л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14 200,00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355 000,00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XN-L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check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L1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Контрольная кровь  уровень L1 (низкий уровень), объем 3 мл для контроля качества при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исследовнии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общего анализа крови на Автоматическом гематологическом анализаторе XN 10, XN 20 для систем XN-1000, XN-2000, XN-3000.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84 000,00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XN-L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check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L2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Контрольная кровь  уровень L2 (нома) объем 3 мл для контроля качества при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исследовнии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общего анализа крови на Автоматическом гематологическом анализаторе XN 10, XN 20 для систем XN-1000, XN-2000, XN-3000.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84 000,00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XN-L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check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L3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Контрольная кровь  уровень L3 (высокий уровень) объем 3 мл для контроля качества при </w:t>
            </w: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исследовнии</w:t>
            </w:r>
            <w:proofErr w:type="spellEnd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общего анализа крови на Автоматическом гематологическом анализаторе XN 10, XN 20 для систем XN-1000, XN-2000, XN-3000.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84 000,00  </w:t>
            </w:r>
          </w:p>
        </w:tc>
      </w:tr>
      <w:tr w:rsidR="00A315A9" w:rsidRPr="00A315A9" w:rsidTr="00A315A9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A9" w:rsidRPr="00A315A9" w:rsidRDefault="00A315A9" w:rsidP="00A3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315A9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53 991 056,80  </w:t>
            </w:r>
          </w:p>
        </w:tc>
      </w:tr>
    </w:tbl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spellStart"/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spellEnd"/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DIVES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295DD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09.04.2018    11:55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Витена</w:t>
            </w:r>
            <w:proofErr w:type="spell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295DD4">
            <w:pPr>
              <w:spacing w:after="0" w:line="240" w:lineRule="auto"/>
              <w:jc w:val="center"/>
              <w:rPr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09.04.2018    14:54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3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Гелика</w:t>
            </w:r>
            <w:proofErr w:type="spell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295DD4">
            <w:pPr>
              <w:spacing w:after="0" w:line="240" w:lineRule="auto"/>
              <w:jc w:val="center"/>
              <w:rPr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09.04.2018    16:06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295DD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4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INNOVO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295DD4">
            <w:pPr>
              <w:spacing w:after="0" w:line="240" w:lineRule="auto"/>
              <w:jc w:val="center"/>
              <w:rPr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10.04.2018    05:58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295DD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5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«НПФ «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Медилэнд</w:t>
            </w:r>
            <w:proofErr w:type="spell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295DD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10.04.2018    09:30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295DD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6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JUGGERNAUT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295DD4">
            <w:pPr>
              <w:spacing w:after="0" w:line="240" w:lineRule="auto"/>
              <w:jc w:val="center"/>
              <w:rPr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10.04.2018    09:41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295DD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7</w:t>
            </w:r>
          </w:p>
        </w:tc>
        <w:tc>
          <w:tcPr>
            <w:tcW w:w="5245" w:type="dxa"/>
          </w:tcPr>
          <w:p w:rsidR="00295DD4" w:rsidRPr="00F66F82" w:rsidRDefault="00295DD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INVICTUS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BA585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10.04.2018    09:50</w:t>
            </w:r>
          </w:p>
        </w:tc>
      </w:tr>
      <w:tr w:rsidR="00BA5854" w:rsidRPr="00F66F82" w:rsidTr="009F39EA">
        <w:tc>
          <w:tcPr>
            <w:tcW w:w="675" w:type="dxa"/>
          </w:tcPr>
          <w:p w:rsidR="00BA5854" w:rsidRPr="00F66F82" w:rsidRDefault="00BA5854" w:rsidP="00295DD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8</w:t>
            </w:r>
          </w:p>
        </w:tc>
        <w:tc>
          <w:tcPr>
            <w:tcW w:w="5245" w:type="dxa"/>
          </w:tcPr>
          <w:p w:rsidR="00BA5854" w:rsidRPr="00F66F82" w:rsidRDefault="00BA5854" w:rsidP="00935A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Fortis 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Pai</w:t>
            </w:r>
            <w:proofErr w:type="spell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BA5854" w:rsidRPr="00F66F82" w:rsidRDefault="00BA5854" w:rsidP="00BA585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10.04.2018    10:46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081DA0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F66F82" w:rsidRDefault="00BA5854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F66F82" w:rsidRDefault="00BA5854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Fortis 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Pai</w:t>
            </w:r>
            <w:proofErr w:type="spell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F66F82" w:rsidRDefault="007D3BD4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66F82">
              <w:rPr>
                <w:rFonts w:ascii="Times New Roman" w:hAnsi="Times New Roman"/>
                <w:sz w:val="20"/>
              </w:rPr>
              <w:t>Чупина</w:t>
            </w:r>
            <w:proofErr w:type="spellEnd"/>
            <w:r w:rsidRPr="00F66F82">
              <w:rPr>
                <w:rFonts w:ascii="Times New Roman" w:hAnsi="Times New Roman"/>
                <w:sz w:val="20"/>
              </w:rPr>
              <w:t xml:space="preserve"> Г.С.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694806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0C2940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7D3BD4" w:rsidP="00B528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«НПФ «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Медилэнд</w:t>
            </w:r>
            <w:proofErr w:type="spell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7D3BD4" w:rsidP="00BA64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F66F82">
              <w:rPr>
                <w:rFonts w:ascii="Times New Roman" w:hAnsi="Times New Roman"/>
                <w:sz w:val="18"/>
                <w:szCs w:val="20"/>
                <w:lang w:val="kk-KZ"/>
              </w:rPr>
              <w:t>г.Алматы, ул.Ташкентская, 417А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7D3BD4" w:rsidP="003F6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50 093 105,00</w:t>
            </w:r>
          </w:p>
        </w:tc>
      </w:tr>
      <w:tr w:rsidR="000C2940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0" w:rsidRPr="00F66F82" w:rsidRDefault="000C2940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0" w:rsidRPr="00F66F82" w:rsidRDefault="007D3BD4" w:rsidP="00B528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INNOVO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0" w:rsidRPr="00F66F82" w:rsidRDefault="007D3BD4" w:rsidP="007D3BD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F66F82">
              <w:rPr>
                <w:rFonts w:ascii="Times New Roman" w:hAnsi="Times New Roman"/>
                <w:sz w:val="18"/>
                <w:szCs w:val="20"/>
                <w:lang w:val="kk-KZ"/>
              </w:rPr>
              <w:t>г.Алматы, ул.Докучаева, 12/1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0" w:rsidRPr="00F66F82" w:rsidRDefault="007D3BD4" w:rsidP="003F6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  <w:lang w:val="kk-KZ"/>
              </w:rPr>
              <w:t>1 040 000,00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3F6356" w:rsidRPr="00F66F82">
        <w:rPr>
          <w:rFonts w:ascii="Times New Roman" w:eastAsia="Times New Roman" w:hAnsi="Times New Roman"/>
          <w:b/>
          <w:szCs w:val="24"/>
          <w:lang w:val="kk-KZ" w:eastAsia="ru-RU"/>
        </w:rPr>
        <w:t>3</w:t>
      </w:r>
      <w:r w:rsidR="005E2EDF" w:rsidRPr="00F66F82">
        <w:rPr>
          <w:rFonts w:ascii="Times New Roman" w:eastAsia="Times New Roman" w:hAnsi="Times New Roman"/>
          <w:b/>
          <w:szCs w:val="24"/>
          <w:lang w:val="kk-KZ" w:eastAsia="ru-RU"/>
        </w:rPr>
        <w:t>2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54" w:rsidRDefault="00BA5854">
      <w:pPr>
        <w:spacing w:after="0" w:line="240" w:lineRule="auto"/>
      </w:pPr>
      <w:r>
        <w:separator/>
      </w:r>
    </w:p>
  </w:endnote>
  <w:endnote w:type="continuationSeparator" w:id="1">
    <w:p w:rsidR="00BA5854" w:rsidRDefault="00BA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54" w:rsidRDefault="000D7D29">
    <w:pPr>
      <w:pStyle w:val="a5"/>
      <w:jc w:val="center"/>
    </w:pPr>
    <w:fldSimple w:instr=" PAGE   \* MERGEFORMAT ">
      <w:r w:rsidR="00F66F82">
        <w:rPr>
          <w:noProof/>
        </w:rPr>
        <w:t>14</w:t>
      </w:r>
    </w:fldSimple>
  </w:p>
  <w:p w:rsidR="00BA5854" w:rsidRDefault="00BA5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54" w:rsidRDefault="00BA5854">
      <w:pPr>
        <w:spacing w:after="0" w:line="240" w:lineRule="auto"/>
      </w:pPr>
      <w:r>
        <w:separator/>
      </w:r>
    </w:p>
  </w:footnote>
  <w:footnote w:type="continuationSeparator" w:id="1">
    <w:p w:rsidR="00BA5854" w:rsidRDefault="00BA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16895"/>
    <w:rsid w:val="0027744C"/>
    <w:rsid w:val="002869FA"/>
    <w:rsid w:val="00286CFE"/>
    <w:rsid w:val="00290C1E"/>
    <w:rsid w:val="00295DD4"/>
    <w:rsid w:val="002A64DA"/>
    <w:rsid w:val="002B2EFD"/>
    <w:rsid w:val="002D0295"/>
    <w:rsid w:val="002D101E"/>
    <w:rsid w:val="002E35D9"/>
    <w:rsid w:val="002F522E"/>
    <w:rsid w:val="003032A8"/>
    <w:rsid w:val="00304AFD"/>
    <w:rsid w:val="00320FB9"/>
    <w:rsid w:val="00334336"/>
    <w:rsid w:val="003347AD"/>
    <w:rsid w:val="00342F09"/>
    <w:rsid w:val="00345EF4"/>
    <w:rsid w:val="00362238"/>
    <w:rsid w:val="00370F37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D7FF9"/>
    <w:rsid w:val="005E2ED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A01C48"/>
    <w:rsid w:val="00A16ADB"/>
    <w:rsid w:val="00A1766B"/>
    <w:rsid w:val="00A315A9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86F0C"/>
    <w:rsid w:val="00A959A1"/>
    <w:rsid w:val="00AB79E2"/>
    <w:rsid w:val="00AC59D3"/>
    <w:rsid w:val="00AD540A"/>
    <w:rsid w:val="00AF56FB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51D4"/>
    <w:rsid w:val="00B96D87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0015D"/>
    <w:rsid w:val="00E15B91"/>
    <w:rsid w:val="00E160A5"/>
    <w:rsid w:val="00E32218"/>
    <w:rsid w:val="00E36BB2"/>
    <w:rsid w:val="00E57B22"/>
    <w:rsid w:val="00E7587F"/>
    <w:rsid w:val="00E7613D"/>
    <w:rsid w:val="00E959A6"/>
    <w:rsid w:val="00EA39B3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66F82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99A2-3463-4344-AAF1-28F03B7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14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2018-04-23T09:29:00Z</cp:lastPrinted>
  <dcterms:created xsi:type="dcterms:W3CDTF">2018-01-21T06:17:00Z</dcterms:created>
  <dcterms:modified xsi:type="dcterms:W3CDTF">2018-04-23T09:32:00Z</dcterms:modified>
</cp:coreProperties>
</file>