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2A" w:rsidRPr="00EE79C0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E79C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927A3C" w:rsidRPr="00EE79C0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</w:p>
    <w:p w:rsidR="006865D5" w:rsidRPr="00EE79C0" w:rsidRDefault="006865D5" w:rsidP="002E2471">
      <w:pPr>
        <w:ind w:firstLine="540"/>
        <w:jc w:val="both"/>
        <w:rPr>
          <w:b/>
          <w:color w:val="000000"/>
        </w:rPr>
      </w:pPr>
      <w:r w:rsidRPr="00EE79C0">
        <w:rPr>
          <w:b/>
          <w:bCs/>
        </w:rPr>
        <w:t xml:space="preserve">вскрытия тендерной документации </w:t>
      </w:r>
      <w:r w:rsidR="001A4E10" w:rsidRPr="00EE79C0">
        <w:rPr>
          <w:b/>
        </w:rPr>
        <w:t xml:space="preserve">по закупу </w:t>
      </w:r>
      <w:r w:rsidR="00AB028E" w:rsidRPr="00EE79C0">
        <w:rPr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2E2471" w:rsidRPr="00EE79C0">
        <w:rPr>
          <w:b/>
          <w:color w:val="000000"/>
        </w:rPr>
        <w:t xml:space="preserve"> </w:t>
      </w:r>
      <w:r w:rsidR="00AB028E" w:rsidRPr="00EE79C0">
        <w:rPr>
          <w:b/>
          <w:color w:val="000000"/>
        </w:rPr>
        <w:t>на 2022 год</w:t>
      </w:r>
    </w:p>
    <w:p w:rsidR="00AB028E" w:rsidRPr="00EE79C0" w:rsidRDefault="00AB028E" w:rsidP="006865D5">
      <w:pPr>
        <w:ind w:firstLine="540"/>
        <w:jc w:val="center"/>
        <w:rPr>
          <w:b/>
          <w:color w:val="000000"/>
        </w:rPr>
      </w:pPr>
    </w:p>
    <w:p w:rsidR="00AB028E" w:rsidRPr="00EE79C0" w:rsidRDefault="00AB028E" w:rsidP="006865D5">
      <w:pPr>
        <w:ind w:firstLine="540"/>
        <w:jc w:val="center"/>
        <w:rPr>
          <w:b/>
          <w:color w:val="000000"/>
        </w:rPr>
      </w:pPr>
    </w:p>
    <w:p w:rsidR="00151635" w:rsidRPr="00EE79C0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</w:t>
      </w:r>
      <w:r w:rsidR="00D46675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26C4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2E4208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B83FFD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D94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9C2" w:rsidRPr="00EE79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479C8" w:rsidRPr="00EE79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92743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79C0">
        <w:rPr>
          <w:rFonts w:ascii="Times New Roman" w:hAnsi="Times New Roman" w:cs="Times New Roman"/>
          <w:color w:val="auto"/>
          <w:sz w:val="24"/>
          <w:szCs w:val="24"/>
        </w:rPr>
        <w:t>часов</w:t>
      </w:r>
      <w:r w:rsidR="00321EAC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79C8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00 минут </w:t>
      </w:r>
      <w:r w:rsidR="003A4609" w:rsidRPr="00EE79C0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6E1AC1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4609" w:rsidRPr="00EE79C0">
        <w:rPr>
          <w:rFonts w:ascii="Times New Roman" w:hAnsi="Times New Roman" w:cs="Times New Roman"/>
          <w:color w:val="auto"/>
          <w:sz w:val="24"/>
          <w:szCs w:val="24"/>
        </w:rPr>
        <w:t>июня</w:t>
      </w:r>
      <w:r w:rsidR="00E279C2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7661" w:rsidRPr="00EE79C0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4206CC" w:rsidRPr="00EE79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757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4796"/>
        <w:gridCol w:w="4796"/>
      </w:tblGrid>
      <w:tr w:rsidR="00E279C2" w:rsidRPr="00EE79C0" w:rsidTr="00E279C2">
        <w:tc>
          <w:tcPr>
            <w:tcW w:w="1716" w:type="pct"/>
          </w:tcPr>
          <w:p w:rsidR="00E279C2" w:rsidRPr="00EE79C0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EE79C0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EE79C0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Pr="00EE79C0" w:rsidRDefault="00151635" w:rsidP="0090606E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E79C0">
        <w:t>Тендерна</w:t>
      </w:r>
      <w:r w:rsidR="00025C4F" w:rsidRPr="00EE79C0">
        <w:t>я комиссия в следующем составе:</w:t>
      </w:r>
    </w:p>
    <w:p w:rsidR="0090606E" w:rsidRPr="00EE79C0" w:rsidRDefault="0090606E" w:rsidP="0090606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EE79C0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31D0E" w:rsidRPr="00EE79C0" w:rsidRDefault="00131D0E" w:rsidP="00131D0E">
            <w:pPr>
              <w:rPr>
                <w:b/>
                <w:i/>
              </w:rPr>
            </w:pPr>
            <w:r w:rsidRPr="00EE79C0">
              <w:rPr>
                <w:b/>
                <w:i/>
              </w:rPr>
              <w:t>Председатель тендерной комиссии:</w:t>
            </w:r>
          </w:p>
          <w:p w:rsidR="00151635" w:rsidRPr="00EE79C0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51635" w:rsidRPr="00EE79C0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EE79C0" w:rsidRDefault="00131D0E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EE79C0">
              <w:t>Манжуова</w:t>
            </w:r>
            <w:proofErr w:type="spellEnd"/>
            <w:r w:rsidRPr="00EE79C0">
              <w:t xml:space="preserve"> Л.Н</w:t>
            </w:r>
            <w:r w:rsidR="00813044" w:rsidRPr="00EE79C0"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EE79C0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EE79C0" w:rsidRDefault="00131D0E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EE79C0">
              <w:t>заместитель председателя Правления по научно-клинической и инновационной деятельности</w:t>
            </w:r>
            <w:r w:rsidR="00074A81" w:rsidRPr="00EE79C0">
              <w:rPr>
                <w:lang w:eastAsia="en-US"/>
              </w:rPr>
              <w:t>;</w:t>
            </w:r>
          </w:p>
        </w:tc>
      </w:tr>
      <w:tr w:rsidR="00151635" w:rsidRPr="00EE79C0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EE79C0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EE79C0">
              <w:rPr>
                <w:b/>
                <w:i/>
              </w:rPr>
              <w:t>Заместитель председателя комиссии:</w:t>
            </w:r>
          </w:p>
        </w:tc>
      </w:tr>
      <w:tr w:rsidR="00151635" w:rsidRPr="00EE79C0" w:rsidTr="004206CC">
        <w:trPr>
          <w:trHeight w:val="240"/>
        </w:trPr>
        <w:tc>
          <w:tcPr>
            <w:tcW w:w="3218" w:type="dxa"/>
            <w:shd w:val="clear" w:color="auto" w:fill="FFFFFF" w:themeFill="background1"/>
          </w:tcPr>
          <w:p w:rsidR="00151635" w:rsidRPr="00EE79C0" w:rsidRDefault="00131D0E" w:rsidP="004206CC">
            <w:pPr>
              <w:spacing w:line="254" w:lineRule="auto"/>
              <w:rPr>
                <w:lang w:eastAsia="en-US"/>
              </w:rPr>
            </w:pPr>
            <w:r w:rsidRPr="00EE79C0">
              <w:rPr>
                <w:lang w:val="kk-KZ"/>
              </w:rPr>
              <w:t>Хаиров К</w:t>
            </w:r>
            <w:r w:rsidRPr="00EE79C0">
              <w:t>.Э</w:t>
            </w:r>
            <w:r w:rsidR="00C83E91" w:rsidRPr="00EE79C0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EE79C0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EE79C0" w:rsidRDefault="00131D0E" w:rsidP="006605E6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EE79C0">
              <w:t>руководитель хирургического блока</w:t>
            </w:r>
            <w:r w:rsidR="00C83E91" w:rsidRPr="00EE79C0">
              <w:t>;</w:t>
            </w:r>
          </w:p>
        </w:tc>
      </w:tr>
      <w:tr w:rsidR="001652EE" w:rsidRPr="00EE79C0" w:rsidTr="009E3143">
        <w:trPr>
          <w:trHeight w:val="330"/>
        </w:trPr>
        <w:tc>
          <w:tcPr>
            <w:tcW w:w="9747" w:type="dxa"/>
            <w:gridSpan w:val="3"/>
            <w:shd w:val="clear" w:color="auto" w:fill="FFFFFF" w:themeFill="background1"/>
          </w:tcPr>
          <w:p w:rsidR="001652EE" w:rsidRPr="00EE79C0" w:rsidRDefault="001652EE" w:rsidP="004206CC">
            <w:pPr>
              <w:pStyle w:val="a9"/>
              <w:spacing w:before="0" w:after="0" w:line="254" w:lineRule="auto"/>
              <w:jc w:val="both"/>
            </w:pPr>
            <w:r w:rsidRPr="00EE79C0">
              <w:rPr>
                <w:b/>
                <w:lang w:eastAsia="en-US"/>
              </w:rPr>
              <w:t>Члены комиссии:</w:t>
            </w:r>
          </w:p>
        </w:tc>
      </w:tr>
      <w:tr w:rsidR="006605E6" w:rsidRPr="00EE79C0" w:rsidTr="008A519C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6605E6" w:rsidRPr="00EE79C0" w:rsidRDefault="006605E6" w:rsidP="006605E6">
            <w:pPr>
              <w:spacing w:line="254" w:lineRule="auto"/>
              <w:rPr>
                <w:lang w:eastAsia="en-US"/>
              </w:rPr>
            </w:pPr>
            <w:r w:rsidRPr="00EE79C0">
              <w:rPr>
                <w:lang w:val="kk-KZ"/>
              </w:rPr>
              <w:t>Абдилова Г.К.</w:t>
            </w:r>
          </w:p>
        </w:tc>
        <w:tc>
          <w:tcPr>
            <w:tcW w:w="310" w:type="dxa"/>
            <w:shd w:val="clear" w:color="auto" w:fill="FFFFFF" w:themeFill="background1"/>
          </w:tcPr>
          <w:p w:rsidR="006605E6" w:rsidRPr="00EE79C0" w:rsidRDefault="006605E6" w:rsidP="006605E6">
            <w:pPr>
              <w:spacing w:line="254" w:lineRule="auto"/>
              <w:jc w:val="both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6605E6" w:rsidRPr="00EE79C0" w:rsidRDefault="006605E6" w:rsidP="006605E6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EE79C0">
              <w:t>руководитель педиатрического блока;</w:t>
            </w:r>
          </w:p>
        </w:tc>
      </w:tr>
      <w:tr w:rsidR="006605E6" w:rsidRPr="00EE79C0" w:rsidTr="00AC245B">
        <w:tc>
          <w:tcPr>
            <w:tcW w:w="3218" w:type="dxa"/>
            <w:shd w:val="clear" w:color="auto" w:fill="FFFFFF" w:themeFill="background1"/>
          </w:tcPr>
          <w:p w:rsidR="006605E6" w:rsidRPr="00EE79C0" w:rsidRDefault="006605E6" w:rsidP="006605E6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EE79C0">
              <w:rPr>
                <w:lang w:val="kk-KZ"/>
              </w:rPr>
              <w:t>Мышанова Г.К</w:t>
            </w:r>
            <w:r w:rsidRPr="00EE79C0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6605E6" w:rsidRPr="00EE79C0" w:rsidRDefault="006605E6" w:rsidP="006605E6">
            <w:pPr>
              <w:spacing w:line="254" w:lineRule="auto"/>
              <w:jc w:val="both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6605E6" w:rsidRPr="00EE79C0" w:rsidRDefault="006605E6" w:rsidP="006605E6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EE79C0">
              <w:t>руководитель управления лекарственного обеспечения</w:t>
            </w:r>
            <w:r w:rsidRPr="00EE79C0">
              <w:rPr>
                <w:lang w:eastAsia="en-US"/>
              </w:rPr>
              <w:t>;</w:t>
            </w:r>
          </w:p>
        </w:tc>
      </w:tr>
      <w:tr w:rsidR="006605E6" w:rsidRPr="00EE79C0" w:rsidTr="00AC245B">
        <w:tc>
          <w:tcPr>
            <w:tcW w:w="3218" w:type="dxa"/>
            <w:shd w:val="clear" w:color="auto" w:fill="FFFFFF" w:themeFill="background1"/>
            <w:hideMark/>
          </w:tcPr>
          <w:p w:rsidR="006605E6" w:rsidRPr="00EE79C0" w:rsidRDefault="006605E6" w:rsidP="006605E6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EE79C0">
              <w:t>Ботаханов</w:t>
            </w:r>
            <w:proofErr w:type="spellEnd"/>
            <w:r w:rsidRPr="00EE79C0">
              <w:t xml:space="preserve"> Д.Е.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6605E6" w:rsidRPr="00EE79C0" w:rsidRDefault="006605E6" w:rsidP="006605E6">
            <w:pPr>
              <w:spacing w:line="254" w:lineRule="auto"/>
              <w:jc w:val="both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6605E6" w:rsidRPr="00EE79C0" w:rsidRDefault="006605E6" w:rsidP="006605E6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EE79C0">
              <w:t>начальник отдела закупок</w:t>
            </w:r>
            <w:r w:rsidRPr="00EE79C0">
              <w:rPr>
                <w:lang w:eastAsia="en-US"/>
              </w:rPr>
              <w:t>;</w:t>
            </w:r>
          </w:p>
        </w:tc>
      </w:tr>
      <w:tr w:rsidR="006605E6" w:rsidRPr="00EE79C0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6605E6" w:rsidRPr="00EE79C0" w:rsidRDefault="006605E6" w:rsidP="006605E6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EE79C0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6605E6" w:rsidRPr="00EE79C0" w:rsidTr="00AC245B">
        <w:tc>
          <w:tcPr>
            <w:tcW w:w="3218" w:type="dxa"/>
            <w:shd w:val="clear" w:color="auto" w:fill="FFFFFF" w:themeFill="background1"/>
            <w:hideMark/>
          </w:tcPr>
          <w:p w:rsidR="006605E6" w:rsidRPr="00EE79C0" w:rsidRDefault="006605E6" w:rsidP="006605E6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EE79C0">
              <w:t>Сарсенова</w:t>
            </w:r>
            <w:proofErr w:type="spellEnd"/>
            <w:r w:rsidRPr="00EE79C0">
              <w:t xml:space="preserve"> Г.М.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6605E6" w:rsidRPr="00EE79C0" w:rsidRDefault="006605E6" w:rsidP="006605E6">
            <w:pPr>
              <w:spacing w:line="254" w:lineRule="auto"/>
              <w:jc w:val="both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6605E6" w:rsidRPr="00EE79C0" w:rsidRDefault="006605E6" w:rsidP="006605E6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EE79C0">
              <w:rPr>
                <w:lang w:val="kk-KZ" w:eastAsia="en-US"/>
              </w:rPr>
              <w:t>специалист по закупкам</w:t>
            </w:r>
            <w:r w:rsidRPr="00EE79C0">
              <w:rPr>
                <w:lang w:eastAsia="en-US"/>
              </w:rPr>
              <w:t>;</w:t>
            </w:r>
          </w:p>
        </w:tc>
      </w:tr>
    </w:tbl>
    <w:p w:rsidR="00151635" w:rsidRPr="00EE79C0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Pr="00EE79C0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E79C0">
        <w:rPr>
          <w:b w:val="0"/>
          <w:sz w:val="24"/>
          <w:szCs w:val="24"/>
        </w:rPr>
        <w:tab/>
      </w:r>
      <w:r w:rsidR="00744FF3" w:rsidRPr="00EE79C0">
        <w:rPr>
          <w:b w:val="0"/>
          <w:sz w:val="24"/>
          <w:szCs w:val="24"/>
        </w:rPr>
        <w:t>10</w:t>
      </w:r>
      <w:r w:rsidR="00354D35" w:rsidRPr="00EE79C0">
        <w:rPr>
          <w:b w:val="0"/>
          <w:sz w:val="24"/>
          <w:szCs w:val="24"/>
        </w:rPr>
        <w:t xml:space="preserve"> </w:t>
      </w:r>
      <w:r w:rsidR="00744FF3" w:rsidRPr="00EE79C0">
        <w:rPr>
          <w:b w:val="0"/>
          <w:sz w:val="24"/>
          <w:szCs w:val="24"/>
        </w:rPr>
        <w:t>июня</w:t>
      </w:r>
      <w:r w:rsidR="00987661" w:rsidRPr="00EE79C0">
        <w:rPr>
          <w:b w:val="0"/>
          <w:sz w:val="24"/>
          <w:szCs w:val="24"/>
        </w:rPr>
        <w:t xml:space="preserve"> 202</w:t>
      </w:r>
      <w:r w:rsidR="000E1D75" w:rsidRPr="00EE79C0">
        <w:rPr>
          <w:b w:val="0"/>
          <w:sz w:val="24"/>
          <w:szCs w:val="24"/>
        </w:rPr>
        <w:t>2</w:t>
      </w:r>
      <w:r w:rsidR="00F62F4A" w:rsidRPr="00EE79C0">
        <w:rPr>
          <w:b w:val="0"/>
          <w:sz w:val="24"/>
          <w:szCs w:val="24"/>
        </w:rPr>
        <w:t xml:space="preserve"> года </w:t>
      </w:r>
      <w:r w:rsidR="00151635" w:rsidRPr="00EE79C0">
        <w:rPr>
          <w:b w:val="0"/>
          <w:sz w:val="24"/>
          <w:szCs w:val="24"/>
        </w:rPr>
        <w:t>в 1</w:t>
      </w:r>
      <w:r w:rsidR="00197669" w:rsidRPr="00EE79C0">
        <w:rPr>
          <w:b w:val="0"/>
          <w:sz w:val="24"/>
          <w:szCs w:val="24"/>
        </w:rPr>
        <w:t>2</w:t>
      </w:r>
      <w:r w:rsidR="00151635" w:rsidRPr="00EE79C0">
        <w:rPr>
          <w:b w:val="0"/>
          <w:sz w:val="24"/>
          <w:szCs w:val="24"/>
        </w:rPr>
        <w:t xml:space="preserve"> часов 00 минут </w:t>
      </w:r>
      <w:r w:rsidR="005A219A" w:rsidRPr="00EE79C0">
        <w:rPr>
          <w:b w:val="0"/>
          <w:sz w:val="24"/>
          <w:szCs w:val="24"/>
        </w:rPr>
        <w:t>в конференц-зале</w:t>
      </w:r>
      <w:r w:rsidR="004276E5" w:rsidRPr="00EE79C0">
        <w:rPr>
          <w:b w:val="0"/>
          <w:sz w:val="24"/>
          <w:szCs w:val="24"/>
        </w:rPr>
        <w:t xml:space="preserve">, </w:t>
      </w:r>
      <w:r w:rsidR="008070AD" w:rsidRPr="00EE79C0">
        <w:rPr>
          <w:b w:val="0"/>
          <w:sz w:val="24"/>
          <w:szCs w:val="24"/>
        </w:rPr>
        <w:t xml:space="preserve">расположенном </w:t>
      </w:r>
      <w:r w:rsidR="004276E5" w:rsidRPr="00EE79C0">
        <w:rPr>
          <w:b w:val="0"/>
          <w:sz w:val="24"/>
          <w:szCs w:val="24"/>
        </w:rPr>
        <w:t xml:space="preserve">по адресу: </w:t>
      </w:r>
      <w:proofErr w:type="spellStart"/>
      <w:r w:rsidR="00B11931" w:rsidRPr="00EE79C0">
        <w:rPr>
          <w:b w:val="0"/>
          <w:spacing w:val="2"/>
          <w:sz w:val="24"/>
          <w:szCs w:val="24"/>
        </w:rPr>
        <w:t>г.Алматы</w:t>
      </w:r>
      <w:proofErr w:type="spellEnd"/>
      <w:r w:rsidR="00B11931" w:rsidRPr="00EE79C0">
        <w:rPr>
          <w:b w:val="0"/>
          <w:spacing w:val="2"/>
          <w:sz w:val="24"/>
          <w:szCs w:val="24"/>
        </w:rPr>
        <w:t xml:space="preserve">, </w:t>
      </w:r>
      <w:proofErr w:type="spellStart"/>
      <w:r w:rsidR="00B11931" w:rsidRPr="00EE79C0">
        <w:rPr>
          <w:b w:val="0"/>
          <w:spacing w:val="2"/>
          <w:sz w:val="24"/>
          <w:szCs w:val="24"/>
        </w:rPr>
        <w:t>Бостандыкский</w:t>
      </w:r>
      <w:proofErr w:type="spellEnd"/>
      <w:r w:rsidR="00B11931" w:rsidRPr="00EE79C0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B11931" w:rsidRPr="00EE79C0">
        <w:rPr>
          <w:b w:val="0"/>
          <w:spacing w:val="2"/>
          <w:sz w:val="24"/>
          <w:szCs w:val="24"/>
        </w:rPr>
        <w:t>пр.Аль-Фараби</w:t>
      </w:r>
      <w:proofErr w:type="spellEnd"/>
      <w:r w:rsidR="00B11931" w:rsidRPr="00EE79C0">
        <w:rPr>
          <w:b w:val="0"/>
          <w:spacing w:val="2"/>
          <w:sz w:val="24"/>
          <w:szCs w:val="24"/>
        </w:rPr>
        <w:t>, 146</w:t>
      </w:r>
      <w:r w:rsidR="008A519C" w:rsidRPr="00EE79C0">
        <w:rPr>
          <w:b w:val="0"/>
          <w:sz w:val="24"/>
          <w:szCs w:val="24"/>
        </w:rPr>
        <w:t>, бы</w:t>
      </w:r>
      <w:r w:rsidR="00354D35" w:rsidRPr="00EE79C0">
        <w:rPr>
          <w:b w:val="0"/>
          <w:sz w:val="24"/>
          <w:szCs w:val="24"/>
        </w:rPr>
        <w:t>ла произведена процедура</w:t>
      </w:r>
      <w:r w:rsidR="00151635" w:rsidRPr="00EE79C0">
        <w:rPr>
          <w:b w:val="0"/>
          <w:sz w:val="24"/>
          <w:szCs w:val="24"/>
        </w:rPr>
        <w:t xml:space="preserve"> вскрытия конвертов с тендерными заявками представленными для участия в тендере </w:t>
      </w:r>
      <w:r w:rsidR="008A519C" w:rsidRPr="00EE79C0">
        <w:rPr>
          <w:b w:val="0"/>
          <w:sz w:val="24"/>
          <w:szCs w:val="24"/>
        </w:rPr>
        <w:t xml:space="preserve">по закупу </w:t>
      </w:r>
      <w:r w:rsidR="004052B0" w:rsidRPr="00EE79C0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87661" w:rsidRPr="00EE79C0">
        <w:rPr>
          <w:b w:val="0"/>
          <w:sz w:val="24"/>
          <w:szCs w:val="24"/>
        </w:rPr>
        <w:t xml:space="preserve"> на 202</w:t>
      </w:r>
      <w:r w:rsidR="00DE318F" w:rsidRPr="00EE79C0">
        <w:rPr>
          <w:b w:val="0"/>
          <w:sz w:val="24"/>
          <w:szCs w:val="24"/>
        </w:rPr>
        <w:t>2</w:t>
      </w:r>
      <w:r w:rsidR="008A519C" w:rsidRPr="00EE79C0">
        <w:rPr>
          <w:b w:val="0"/>
          <w:sz w:val="24"/>
          <w:szCs w:val="24"/>
        </w:rPr>
        <w:t xml:space="preserve"> год</w:t>
      </w:r>
      <w:r w:rsidR="00652763" w:rsidRPr="00EE79C0">
        <w:rPr>
          <w:b w:val="0"/>
          <w:bCs w:val="0"/>
          <w:sz w:val="24"/>
          <w:szCs w:val="24"/>
        </w:rPr>
        <w:t xml:space="preserve"> </w:t>
      </w:r>
      <w:r w:rsidR="00151635" w:rsidRPr="00EE79C0">
        <w:rPr>
          <w:b w:val="0"/>
          <w:bCs w:val="0"/>
          <w:sz w:val="24"/>
          <w:szCs w:val="24"/>
        </w:rPr>
        <w:t>(далее – Тендер)</w:t>
      </w:r>
      <w:r w:rsidR="00151635" w:rsidRPr="00EE79C0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4052B0" w:rsidRPr="00EE79C0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151635" w:rsidRPr="00EE79C0">
        <w:rPr>
          <w:b w:val="0"/>
          <w:sz w:val="24"/>
          <w:szCs w:val="24"/>
        </w:rPr>
        <w:t xml:space="preserve">, утвержденными Постановлением Правительства Республики Казахстан от </w:t>
      </w:r>
      <w:r w:rsidR="004052B0" w:rsidRPr="00EE79C0">
        <w:rPr>
          <w:b w:val="0"/>
          <w:sz w:val="24"/>
          <w:szCs w:val="24"/>
        </w:rPr>
        <w:t>04</w:t>
      </w:r>
      <w:r w:rsidR="00151635" w:rsidRPr="00EE79C0">
        <w:rPr>
          <w:b w:val="0"/>
          <w:sz w:val="24"/>
          <w:szCs w:val="24"/>
        </w:rPr>
        <w:t xml:space="preserve"> </w:t>
      </w:r>
      <w:r w:rsidR="004052B0" w:rsidRPr="00EE79C0">
        <w:rPr>
          <w:b w:val="0"/>
          <w:sz w:val="24"/>
          <w:szCs w:val="24"/>
        </w:rPr>
        <w:t>июн</w:t>
      </w:r>
      <w:r w:rsidR="00151635" w:rsidRPr="00EE79C0">
        <w:rPr>
          <w:b w:val="0"/>
          <w:sz w:val="24"/>
          <w:szCs w:val="24"/>
        </w:rPr>
        <w:t xml:space="preserve">я </w:t>
      </w:r>
      <w:r w:rsidR="004052B0" w:rsidRPr="00EE79C0">
        <w:rPr>
          <w:b w:val="0"/>
          <w:sz w:val="24"/>
          <w:szCs w:val="24"/>
        </w:rPr>
        <w:t>2021 года №375</w:t>
      </w:r>
      <w:r w:rsidR="00151635" w:rsidRPr="00EE79C0">
        <w:rPr>
          <w:b w:val="0"/>
          <w:sz w:val="24"/>
          <w:szCs w:val="24"/>
        </w:rPr>
        <w:t xml:space="preserve"> (далее - Правила).</w:t>
      </w:r>
      <w:bookmarkStart w:id="0" w:name="_GoBack"/>
      <w:bookmarkEnd w:id="0"/>
    </w:p>
    <w:p w:rsidR="00151635" w:rsidRPr="00EE79C0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627654" w:rsidRPr="00EE79C0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E318F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на 2022</w:t>
      </w:r>
      <w:r w:rsidR="008A519C" w:rsidRPr="00EE7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79C0"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tbl>
      <w:tblPr>
        <w:tblW w:w="9891" w:type="dxa"/>
        <w:jc w:val="center"/>
        <w:tblLook w:val="04A0" w:firstRow="1" w:lastRow="0" w:firstColumn="1" w:lastColumn="0" w:noHBand="0" w:noVBand="1"/>
      </w:tblPr>
      <w:tblGrid>
        <w:gridCol w:w="709"/>
        <w:gridCol w:w="4773"/>
        <w:gridCol w:w="1100"/>
        <w:gridCol w:w="1306"/>
        <w:gridCol w:w="2003"/>
      </w:tblGrid>
      <w:tr w:rsidR="00D33CA5" w:rsidRPr="00EE79C0" w:rsidTr="00D1115A">
        <w:trPr>
          <w:trHeight w:val="5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EE79C0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79C0">
              <w:rPr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EE79C0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79C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EE79C0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79C0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EE79C0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79C0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EE79C0" w:rsidRDefault="00D33CA5" w:rsidP="00D11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79C0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4E48B2" w:rsidRPr="00EE79C0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8B2" w:rsidRPr="00EE79C0" w:rsidRDefault="004E48B2" w:rsidP="004E48B2">
            <w:pPr>
              <w:jc w:val="center"/>
              <w:rPr>
                <w:color w:val="000000"/>
                <w:sz w:val="20"/>
                <w:szCs w:val="20"/>
              </w:rPr>
            </w:pPr>
            <w:r w:rsidRPr="00EE79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2" w:rsidRPr="00EE79C0" w:rsidRDefault="004E48B2" w:rsidP="004E48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E79C0">
              <w:rPr>
                <w:color w:val="000000"/>
                <w:sz w:val="20"/>
                <w:szCs w:val="20"/>
              </w:rPr>
              <w:t>Метотрексат</w:t>
            </w:r>
            <w:proofErr w:type="spellEnd"/>
            <w:r w:rsidRPr="00EE79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9C0">
              <w:rPr>
                <w:color w:val="000000"/>
                <w:sz w:val="20"/>
                <w:szCs w:val="20"/>
              </w:rPr>
              <w:t>медак</w:t>
            </w:r>
            <w:proofErr w:type="spellEnd"/>
            <w:r w:rsidRPr="00EE79C0">
              <w:rPr>
                <w:color w:val="000000"/>
                <w:sz w:val="20"/>
                <w:szCs w:val="20"/>
              </w:rPr>
              <w:t xml:space="preserve"> 15 мг (</w:t>
            </w:r>
            <w:proofErr w:type="spellStart"/>
            <w:r w:rsidRPr="00EE79C0">
              <w:rPr>
                <w:color w:val="000000"/>
                <w:sz w:val="20"/>
                <w:szCs w:val="20"/>
              </w:rPr>
              <w:t>эндолюмбально</w:t>
            </w:r>
            <w:proofErr w:type="spellEnd"/>
            <w:r w:rsidRPr="00EE79C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2" w:rsidRPr="00EE79C0" w:rsidRDefault="004E48B2" w:rsidP="004E48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E79C0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2" w:rsidRPr="00EE79C0" w:rsidRDefault="004E48B2" w:rsidP="004E48B2">
            <w:pPr>
              <w:jc w:val="center"/>
              <w:rPr>
                <w:color w:val="000000"/>
                <w:sz w:val="20"/>
                <w:szCs w:val="20"/>
              </w:rPr>
            </w:pPr>
            <w:r w:rsidRPr="00EE79C0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2" w:rsidRPr="00EE79C0" w:rsidRDefault="00BE5EF2" w:rsidP="004E48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3 602,13</w:t>
            </w:r>
          </w:p>
        </w:tc>
      </w:tr>
      <w:tr w:rsidR="004E48B2" w:rsidRPr="00EE79C0" w:rsidTr="00D1115A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8B2" w:rsidRPr="00EE79C0" w:rsidRDefault="004E48B2" w:rsidP="004E48B2">
            <w:pPr>
              <w:jc w:val="center"/>
              <w:rPr>
                <w:color w:val="000000"/>
                <w:sz w:val="20"/>
                <w:szCs w:val="20"/>
              </w:rPr>
            </w:pPr>
            <w:r w:rsidRPr="00EE79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2" w:rsidRPr="00EE79C0" w:rsidRDefault="004E48B2" w:rsidP="004E48B2">
            <w:pPr>
              <w:jc w:val="center"/>
              <w:rPr>
                <w:color w:val="000000"/>
                <w:sz w:val="20"/>
                <w:szCs w:val="20"/>
              </w:rPr>
            </w:pPr>
            <w:r w:rsidRPr="00EE79C0">
              <w:rPr>
                <w:color w:val="000000"/>
                <w:sz w:val="20"/>
                <w:szCs w:val="20"/>
              </w:rPr>
              <w:t xml:space="preserve">Перчатки смотровые, латексные, </w:t>
            </w:r>
            <w:proofErr w:type="spellStart"/>
            <w:r w:rsidRPr="00EE79C0"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EE79C0">
              <w:rPr>
                <w:color w:val="000000"/>
                <w:sz w:val="20"/>
                <w:szCs w:val="20"/>
              </w:rPr>
              <w:t>, с текстурой на пальцах, с усиленной манжетой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2" w:rsidRPr="00EE79C0" w:rsidRDefault="004E48B2" w:rsidP="004E48B2">
            <w:pPr>
              <w:jc w:val="center"/>
              <w:rPr>
                <w:color w:val="000000"/>
                <w:sz w:val="20"/>
                <w:szCs w:val="20"/>
              </w:rPr>
            </w:pPr>
            <w:r w:rsidRPr="00EE79C0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2" w:rsidRPr="00EE79C0" w:rsidRDefault="004E48B2" w:rsidP="004E48B2">
            <w:pPr>
              <w:jc w:val="center"/>
              <w:rPr>
                <w:color w:val="000000"/>
                <w:sz w:val="20"/>
                <w:szCs w:val="20"/>
              </w:rPr>
            </w:pPr>
            <w:r w:rsidRPr="00EE79C0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2" w:rsidRPr="00EE79C0" w:rsidRDefault="004E48B2" w:rsidP="004E48B2">
            <w:pPr>
              <w:jc w:val="center"/>
              <w:rPr>
                <w:color w:val="000000"/>
                <w:sz w:val="20"/>
                <w:szCs w:val="20"/>
              </w:rPr>
            </w:pPr>
            <w:r w:rsidRPr="00EE79C0">
              <w:rPr>
                <w:color w:val="000000"/>
                <w:sz w:val="20"/>
                <w:szCs w:val="20"/>
              </w:rPr>
              <w:t>70,00</w:t>
            </w:r>
          </w:p>
        </w:tc>
      </w:tr>
    </w:tbl>
    <w:p w:rsidR="00B83FFD" w:rsidRPr="00EE79C0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Pr="00EE79C0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79C0"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Pr="00EE79C0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 w:rsidRPr="00EE79C0"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E82B8F" w:rsidRPr="00EE79C0" w:rsidRDefault="00E82B8F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111"/>
        <w:gridCol w:w="2556"/>
      </w:tblGrid>
      <w:tr w:rsidR="00151635" w:rsidRPr="00EE79C0" w:rsidTr="004E48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EE79C0" w:rsidRDefault="00151635" w:rsidP="002C492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E79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EE79C0" w:rsidRDefault="00151635" w:rsidP="002C492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E79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EE79C0" w:rsidRDefault="00151635" w:rsidP="002C492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E79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 поставщика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EE79C0" w:rsidRDefault="00151635" w:rsidP="002C492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E79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Время и дата предоставления заявок</w:t>
            </w:r>
          </w:p>
        </w:tc>
      </w:tr>
      <w:tr w:rsidR="002B32AB" w:rsidRPr="00EE79C0" w:rsidTr="004E48B2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EE79C0" w:rsidRDefault="002B32AB" w:rsidP="002C492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79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EE79C0" w:rsidRDefault="004E48B2" w:rsidP="008D6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48B2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4E48B2">
              <w:rPr>
                <w:bCs/>
                <w:color w:val="000000"/>
                <w:sz w:val="20"/>
                <w:szCs w:val="20"/>
              </w:rPr>
              <w:t>Vita</w:t>
            </w:r>
            <w:proofErr w:type="spellEnd"/>
            <w:r w:rsidRPr="004E48B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8B2">
              <w:rPr>
                <w:bCs/>
                <w:color w:val="000000"/>
                <w:sz w:val="20"/>
                <w:szCs w:val="20"/>
              </w:rPr>
              <w:t>pharma</w:t>
            </w:r>
            <w:proofErr w:type="spellEnd"/>
            <w:r w:rsidRPr="004E48B2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EE79C0" w:rsidRDefault="008471C6" w:rsidP="00FA7EFC">
            <w:pPr>
              <w:contextualSpacing/>
              <w:rPr>
                <w:bCs/>
                <w:color w:val="000000"/>
                <w:sz w:val="20"/>
                <w:szCs w:val="20"/>
                <w:lang w:val="kk-KZ"/>
              </w:rPr>
            </w:pPr>
            <w:r w:rsidRPr="00EE79C0">
              <w:rPr>
                <w:bCs/>
                <w:sz w:val="20"/>
                <w:szCs w:val="20"/>
                <w:lang w:val="kk-KZ"/>
              </w:rPr>
              <w:t>г.</w:t>
            </w:r>
            <w:r w:rsidR="00FA7EFC" w:rsidRPr="00EE79C0">
              <w:rPr>
                <w:bCs/>
                <w:sz w:val="20"/>
                <w:szCs w:val="20"/>
                <w:lang w:val="kk-KZ"/>
              </w:rPr>
              <w:t>Нур-Султан, р-н Байконур, ул. Ташенова д.4, офис 36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EE79C0" w:rsidRDefault="00C14B7C" w:rsidP="00C14B7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79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30</w:t>
            </w:r>
            <w:r w:rsidR="002B32AB" w:rsidRPr="00EE79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 w:rsidRPr="00EE79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="00F6272C" w:rsidRPr="00EE79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.2022 1</w:t>
            </w:r>
            <w:r w:rsidRPr="00EE79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2:55</w:t>
            </w:r>
          </w:p>
        </w:tc>
      </w:tr>
      <w:tr w:rsidR="00DF7AB9" w:rsidRPr="00EE79C0" w:rsidTr="004E48B2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EE79C0" w:rsidRDefault="0040760B" w:rsidP="002C492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79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EE79C0" w:rsidRDefault="004E48B2" w:rsidP="008D6457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4E48B2">
              <w:rPr>
                <w:bCs/>
                <w:color w:val="000000"/>
                <w:sz w:val="20"/>
                <w:szCs w:val="20"/>
                <w:lang w:val="kk-KZ"/>
              </w:rPr>
              <w:t xml:space="preserve">ТОО «медак фарма»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EE79C0" w:rsidRDefault="00DF7AB9" w:rsidP="00FA7EFC">
            <w:pPr>
              <w:rPr>
                <w:sz w:val="20"/>
                <w:szCs w:val="20"/>
                <w:lang w:val="kk-KZ"/>
              </w:rPr>
            </w:pPr>
            <w:r w:rsidRPr="00EE79C0">
              <w:rPr>
                <w:bCs/>
                <w:sz w:val="20"/>
                <w:szCs w:val="20"/>
                <w:lang w:val="kk-KZ"/>
              </w:rPr>
              <w:t xml:space="preserve">г.Алматы, ул. </w:t>
            </w:r>
            <w:r w:rsidR="00FA7EFC" w:rsidRPr="00EE79C0">
              <w:rPr>
                <w:bCs/>
                <w:sz w:val="20"/>
                <w:szCs w:val="20"/>
                <w:lang w:val="kk-KZ"/>
              </w:rPr>
              <w:t>Гагарина 309, офис 55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EE79C0" w:rsidRDefault="00C14B7C" w:rsidP="00C14B7C">
            <w:pPr>
              <w:jc w:val="center"/>
              <w:rPr>
                <w:sz w:val="20"/>
                <w:szCs w:val="20"/>
                <w:lang w:val="kk-KZ"/>
              </w:rPr>
            </w:pPr>
            <w:r w:rsidRPr="00EE79C0">
              <w:rPr>
                <w:bCs/>
                <w:sz w:val="20"/>
                <w:szCs w:val="20"/>
                <w:lang w:val="kk-KZ"/>
              </w:rPr>
              <w:t>10</w:t>
            </w:r>
            <w:r w:rsidR="00DF7AB9" w:rsidRPr="00EE79C0">
              <w:rPr>
                <w:bCs/>
                <w:sz w:val="20"/>
                <w:szCs w:val="20"/>
                <w:lang w:val="kk-KZ"/>
              </w:rPr>
              <w:t>.0</w:t>
            </w:r>
            <w:r w:rsidRPr="00EE79C0">
              <w:rPr>
                <w:bCs/>
                <w:sz w:val="20"/>
                <w:szCs w:val="20"/>
                <w:lang w:val="kk-KZ"/>
              </w:rPr>
              <w:t>6.2022 09</w:t>
            </w:r>
            <w:r w:rsidR="00DF7AB9" w:rsidRPr="00EE79C0">
              <w:rPr>
                <w:bCs/>
                <w:sz w:val="20"/>
                <w:szCs w:val="20"/>
                <w:lang w:val="kk-KZ"/>
              </w:rPr>
              <w:t>:</w:t>
            </w:r>
            <w:r w:rsidRPr="00EE79C0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4E48B2" w:rsidRPr="00EE79C0" w:rsidTr="004E48B2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2" w:rsidRPr="00EE79C0" w:rsidRDefault="004E48B2" w:rsidP="002C492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79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2" w:rsidRPr="00EE79C0" w:rsidRDefault="004E48B2" w:rsidP="008D6457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4E48B2">
              <w:rPr>
                <w:bCs/>
                <w:color w:val="000000"/>
                <w:sz w:val="20"/>
                <w:szCs w:val="20"/>
                <w:lang w:val="kk-KZ"/>
              </w:rPr>
              <w:t>ТОО "Dolce"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2" w:rsidRPr="00EE79C0" w:rsidRDefault="002C3C83" w:rsidP="008D6457">
            <w:pPr>
              <w:rPr>
                <w:bCs/>
                <w:sz w:val="20"/>
                <w:szCs w:val="20"/>
                <w:lang w:val="kk-KZ"/>
              </w:rPr>
            </w:pPr>
            <w:r w:rsidRPr="00EE79C0">
              <w:rPr>
                <w:bCs/>
                <w:sz w:val="20"/>
                <w:szCs w:val="20"/>
                <w:lang w:val="kk-KZ"/>
              </w:rPr>
              <w:t>Алматинская обл, Илийский р-он, с.Ынтымак, Аль-фараби 1</w:t>
            </w:r>
            <w:r w:rsidR="00FA7EFC" w:rsidRPr="00EE79C0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2" w:rsidRPr="00EE79C0" w:rsidRDefault="00C14B7C" w:rsidP="002C492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E79C0">
              <w:rPr>
                <w:bCs/>
                <w:sz w:val="20"/>
                <w:szCs w:val="20"/>
                <w:lang w:val="kk-KZ"/>
              </w:rPr>
              <w:t>10.06.2022 09:</w:t>
            </w:r>
            <w:r w:rsidR="00026191" w:rsidRPr="00EE79C0"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</w:tbl>
    <w:p w:rsidR="00151635" w:rsidRPr="00EE79C0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A516FE" w:rsidRPr="00EE79C0" w:rsidRDefault="00151635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E79C0">
        <w:rPr>
          <w:lang w:val="kk-KZ"/>
        </w:rPr>
        <w:t xml:space="preserve">5. </w:t>
      </w:r>
      <w:r w:rsidRPr="00EE79C0">
        <w:t>Цен</w:t>
      </w:r>
      <w:r w:rsidR="00102590" w:rsidRPr="00EE79C0">
        <w:t>овые предложения потенциальных поставщиков по каждому лоту отражены</w:t>
      </w:r>
      <w:r w:rsidRPr="00EE79C0"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</w:t>
      </w:r>
      <w:r w:rsidR="00A516FE" w:rsidRPr="00EE79C0">
        <w:t>конвертов с тендерными заявками.</w:t>
      </w:r>
    </w:p>
    <w:p w:rsidR="0031429A" w:rsidRPr="00EE79C0" w:rsidRDefault="0031429A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E79C0">
        <w:t>6. При процедуре вскрытия конвертов с тендерными заявками присутствующих представителей потенциальных поставщиков не было.</w:t>
      </w:r>
    </w:p>
    <w:p w:rsidR="00151635" w:rsidRPr="00EE79C0" w:rsidRDefault="0031429A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 w:rsidRPr="00EE79C0">
        <w:rPr>
          <w:lang w:val="kk-KZ"/>
        </w:rPr>
        <w:t>7</w:t>
      </w:r>
      <w:r w:rsidR="00102590" w:rsidRPr="00EE79C0">
        <w:rPr>
          <w:lang w:val="kk-KZ"/>
        </w:rPr>
        <w:t>.</w:t>
      </w:r>
      <w:r w:rsidR="00151635" w:rsidRPr="00EE79C0">
        <w:rPr>
          <w:lang w:val="kk-KZ"/>
        </w:rPr>
        <w:t xml:space="preserve"> </w:t>
      </w:r>
      <w:r w:rsidR="00414EC2" w:rsidRPr="00EE79C0">
        <w:t>О</w:t>
      </w:r>
      <w:r w:rsidR="00FF5791" w:rsidRPr="00EE79C0">
        <w:t xml:space="preserve">тделу </w:t>
      </w:r>
      <w:r w:rsidR="00D26B0C" w:rsidRPr="00EE79C0">
        <w:t>закупок</w:t>
      </w:r>
      <w:r w:rsidR="00151635" w:rsidRPr="00EE79C0">
        <w:t xml:space="preserve"> обеспечить проведение всех необходимых мероприятий, предусмотренных Правилами.</w:t>
      </w:r>
    </w:p>
    <w:p w:rsidR="00151635" w:rsidRPr="00EE79C0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EE79C0">
        <w:t xml:space="preserve">За данное решение проголосовали: </w:t>
      </w:r>
    </w:p>
    <w:p w:rsidR="00151635" w:rsidRPr="00EE79C0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EE79C0">
        <w:t>«ЗА» – единогласно</w:t>
      </w:r>
      <w:r w:rsidRPr="00EE79C0">
        <w:rPr>
          <w:bCs/>
        </w:rPr>
        <w:t>;</w:t>
      </w:r>
    </w:p>
    <w:p w:rsidR="00151635" w:rsidRPr="00EE79C0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EE79C0">
        <w:t>«ПРОТИВ» – нет.</w:t>
      </w:r>
    </w:p>
    <w:p w:rsidR="00236619" w:rsidRPr="00EE79C0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D5E14" w:rsidRPr="00EE79C0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rPr>
                <w:b/>
                <w:i/>
              </w:rPr>
            </w:pPr>
            <w:r w:rsidRPr="00EE79C0">
              <w:rPr>
                <w:b/>
                <w:i/>
              </w:rPr>
              <w:t>Председатель тендерной комиссии:</w:t>
            </w:r>
          </w:p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0D5E14" w:rsidRPr="00EE79C0" w:rsidTr="00C161B8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EE79C0">
              <w:t>Манжуова</w:t>
            </w:r>
            <w:proofErr w:type="spellEnd"/>
            <w:r w:rsidRPr="00EE79C0">
              <w:t xml:space="preserve"> Л.Н</w:t>
            </w:r>
            <w:r w:rsidR="00813044" w:rsidRPr="00EE79C0">
              <w:t>.</w:t>
            </w:r>
          </w:p>
          <w:p w:rsidR="00C3693B" w:rsidRPr="00EE79C0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EE79C0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EE79C0">
              <w:rPr>
                <w:b/>
                <w:i/>
              </w:rPr>
              <w:t>Заместитель председателя комиссии:</w:t>
            </w:r>
          </w:p>
        </w:tc>
      </w:tr>
      <w:tr w:rsidR="000D5E14" w:rsidRPr="00EE79C0" w:rsidTr="00C161B8">
        <w:trPr>
          <w:trHeight w:val="523"/>
        </w:trPr>
        <w:tc>
          <w:tcPr>
            <w:tcW w:w="3218" w:type="dxa"/>
            <w:shd w:val="clear" w:color="auto" w:fill="FFFFFF" w:themeFill="background1"/>
            <w:vAlign w:val="center"/>
          </w:tcPr>
          <w:p w:rsidR="000D5E14" w:rsidRPr="00EE79C0" w:rsidRDefault="000D5E14" w:rsidP="00C161B8">
            <w:pPr>
              <w:spacing w:line="254" w:lineRule="auto"/>
              <w:rPr>
                <w:lang w:eastAsia="en-US"/>
              </w:rPr>
            </w:pPr>
            <w:r w:rsidRPr="00EE79C0">
              <w:rPr>
                <w:lang w:val="kk-KZ"/>
              </w:rPr>
              <w:t>Хаиров К</w:t>
            </w:r>
            <w:r w:rsidRPr="00EE79C0">
              <w:t>.Э</w:t>
            </w:r>
            <w:r w:rsidRPr="00EE79C0">
              <w:rPr>
                <w:lang w:eastAsia="en-US"/>
              </w:rPr>
              <w:t>.</w:t>
            </w:r>
          </w:p>
          <w:p w:rsidR="00C3693B" w:rsidRPr="00EE79C0" w:rsidRDefault="00C3693B" w:rsidP="00C161B8">
            <w:pPr>
              <w:spacing w:line="254" w:lineRule="auto"/>
              <w:rPr>
                <w:lang w:eastAsia="en-US"/>
              </w:rPr>
            </w:pPr>
          </w:p>
          <w:p w:rsidR="000D5E14" w:rsidRPr="00EE79C0" w:rsidRDefault="000D5E14" w:rsidP="00C161B8">
            <w:pPr>
              <w:spacing w:line="254" w:lineRule="auto"/>
              <w:rPr>
                <w:lang w:eastAsia="en-US"/>
              </w:rPr>
            </w:pPr>
            <w:r w:rsidRPr="00EE79C0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EE79C0" w:rsidTr="00C161B8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C3693B" w:rsidRPr="00EE79C0" w:rsidRDefault="00420061" w:rsidP="00C161B8">
            <w:pPr>
              <w:spacing w:line="254" w:lineRule="auto"/>
              <w:rPr>
                <w:lang w:eastAsia="en-US"/>
              </w:rPr>
            </w:pPr>
            <w:r w:rsidRPr="00EE79C0">
              <w:rPr>
                <w:lang w:val="kk-KZ"/>
              </w:rPr>
              <w:t>Абдилова Г.К.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EE79C0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EE79C0" w:rsidTr="00C161B8">
        <w:tc>
          <w:tcPr>
            <w:tcW w:w="3218" w:type="dxa"/>
            <w:shd w:val="clear" w:color="auto" w:fill="FFFFFF" w:themeFill="background1"/>
            <w:vAlign w:val="center"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EE79C0">
              <w:rPr>
                <w:lang w:val="kk-KZ"/>
              </w:rPr>
              <w:t>Мышанова Г.К</w:t>
            </w:r>
            <w:r w:rsidRPr="00EE79C0">
              <w:rPr>
                <w:lang w:eastAsia="en-US"/>
              </w:rPr>
              <w:t>.</w:t>
            </w:r>
          </w:p>
          <w:p w:rsidR="00C3693B" w:rsidRPr="00EE79C0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EE79C0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EE79C0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EE79C0" w:rsidRDefault="00D5584F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EE79C0">
              <w:t>Ботаханов</w:t>
            </w:r>
            <w:proofErr w:type="spellEnd"/>
            <w:r w:rsidRPr="00EE79C0">
              <w:t xml:space="preserve"> Д.Е.</w:t>
            </w:r>
          </w:p>
          <w:p w:rsidR="00C3693B" w:rsidRPr="00EE79C0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EE79C0" w:rsidTr="00C161B8"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EE79C0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D5E14" w:rsidRPr="00EE79C0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spacing w:line="254" w:lineRule="auto"/>
            </w:pPr>
            <w:proofErr w:type="spellStart"/>
            <w:r w:rsidRPr="00EE79C0">
              <w:t>Сарсенова</w:t>
            </w:r>
            <w:proofErr w:type="spellEnd"/>
            <w:r w:rsidRPr="00EE79C0">
              <w:t xml:space="preserve"> Г.М</w:t>
            </w:r>
            <w:r w:rsidR="00813044" w:rsidRPr="00EE79C0">
              <w:t>.</w:t>
            </w:r>
          </w:p>
          <w:p w:rsidR="00C3693B" w:rsidRPr="00EE79C0" w:rsidRDefault="00C3693B" w:rsidP="00C161B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EE79C0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EE79C0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236619" w:rsidRPr="00EE79C0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RPr="00EE79C0" w:rsidSect="006865D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C224DF"/>
    <w:multiLevelType w:val="hybridMultilevel"/>
    <w:tmpl w:val="F5FA3732"/>
    <w:lvl w:ilvl="0" w:tplc="BBAE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4"/>
    <w:rsid w:val="00014A70"/>
    <w:rsid w:val="00020F4A"/>
    <w:rsid w:val="00024D4E"/>
    <w:rsid w:val="00025C4F"/>
    <w:rsid w:val="00026191"/>
    <w:rsid w:val="00027430"/>
    <w:rsid w:val="00042E57"/>
    <w:rsid w:val="00050292"/>
    <w:rsid w:val="00054014"/>
    <w:rsid w:val="00054A6B"/>
    <w:rsid w:val="000721E1"/>
    <w:rsid w:val="00073ACD"/>
    <w:rsid w:val="00074A81"/>
    <w:rsid w:val="00084EA8"/>
    <w:rsid w:val="00086A43"/>
    <w:rsid w:val="00096BFE"/>
    <w:rsid w:val="000D5E14"/>
    <w:rsid w:val="000E1D75"/>
    <w:rsid w:val="000E5F8B"/>
    <w:rsid w:val="000F7BCC"/>
    <w:rsid w:val="00102590"/>
    <w:rsid w:val="001216CC"/>
    <w:rsid w:val="00131D0E"/>
    <w:rsid w:val="00144091"/>
    <w:rsid w:val="00147E37"/>
    <w:rsid w:val="00151635"/>
    <w:rsid w:val="001652EE"/>
    <w:rsid w:val="00176DB2"/>
    <w:rsid w:val="00197669"/>
    <w:rsid w:val="001A4E10"/>
    <w:rsid w:val="001B1355"/>
    <w:rsid w:val="001E676F"/>
    <w:rsid w:val="001F11F6"/>
    <w:rsid w:val="0020128E"/>
    <w:rsid w:val="002075FD"/>
    <w:rsid w:val="00214645"/>
    <w:rsid w:val="00223EC7"/>
    <w:rsid w:val="00225E8E"/>
    <w:rsid w:val="00236619"/>
    <w:rsid w:val="0028165D"/>
    <w:rsid w:val="002B32AB"/>
    <w:rsid w:val="002C3C83"/>
    <w:rsid w:val="002C4927"/>
    <w:rsid w:val="002D4228"/>
    <w:rsid w:val="002E2471"/>
    <w:rsid w:val="002E4208"/>
    <w:rsid w:val="002F49B4"/>
    <w:rsid w:val="002F71FA"/>
    <w:rsid w:val="00301C1C"/>
    <w:rsid w:val="00302474"/>
    <w:rsid w:val="00304497"/>
    <w:rsid w:val="00304B87"/>
    <w:rsid w:val="0031429A"/>
    <w:rsid w:val="00321EAC"/>
    <w:rsid w:val="00325B71"/>
    <w:rsid w:val="00354D35"/>
    <w:rsid w:val="00372810"/>
    <w:rsid w:val="00385B1E"/>
    <w:rsid w:val="003A4609"/>
    <w:rsid w:val="003B6383"/>
    <w:rsid w:val="003C0D2F"/>
    <w:rsid w:val="003E2729"/>
    <w:rsid w:val="004043A7"/>
    <w:rsid w:val="004052B0"/>
    <w:rsid w:val="0040760B"/>
    <w:rsid w:val="00414EC2"/>
    <w:rsid w:val="00420061"/>
    <w:rsid w:val="004206CC"/>
    <w:rsid w:val="004276E5"/>
    <w:rsid w:val="00452959"/>
    <w:rsid w:val="00492743"/>
    <w:rsid w:val="004B3E39"/>
    <w:rsid w:val="004C142D"/>
    <w:rsid w:val="004D17F2"/>
    <w:rsid w:val="004E1153"/>
    <w:rsid w:val="004E48B2"/>
    <w:rsid w:val="004E5914"/>
    <w:rsid w:val="004F1CD6"/>
    <w:rsid w:val="00505D4A"/>
    <w:rsid w:val="00540700"/>
    <w:rsid w:val="0055126E"/>
    <w:rsid w:val="00555233"/>
    <w:rsid w:val="0055653D"/>
    <w:rsid w:val="00565FAF"/>
    <w:rsid w:val="00587C2C"/>
    <w:rsid w:val="00594C61"/>
    <w:rsid w:val="005A219A"/>
    <w:rsid w:val="005C16D6"/>
    <w:rsid w:val="005D3E72"/>
    <w:rsid w:val="005D4496"/>
    <w:rsid w:val="00604A93"/>
    <w:rsid w:val="00610BBA"/>
    <w:rsid w:val="006212A6"/>
    <w:rsid w:val="00627654"/>
    <w:rsid w:val="00640BEA"/>
    <w:rsid w:val="00652763"/>
    <w:rsid w:val="006605E6"/>
    <w:rsid w:val="00665B50"/>
    <w:rsid w:val="006865D5"/>
    <w:rsid w:val="006E1AC1"/>
    <w:rsid w:val="006E468D"/>
    <w:rsid w:val="006E7FB4"/>
    <w:rsid w:val="006F3BFB"/>
    <w:rsid w:val="00717D2B"/>
    <w:rsid w:val="007306EC"/>
    <w:rsid w:val="00742225"/>
    <w:rsid w:val="00744FF3"/>
    <w:rsid w:val="0076119C"/>
    <w:rsid w:val="007636CB"/>
    <w:rsid w:val="00784F77"/>
    <w:rsid w:val="00787F6C"/>
    <w:rsid w:val="0079291B"/>
    <w:rsid w:val="007A2905"/>
    <w:rsid w:val="007A3073"/>
    <w:rsid w:val="007A6B8D"/>
    <w:rsid w:val="007A7B0D"/>
    <w:rsid w:val="007D5DAB"/>
    <w:rsid w:val="007D7E4B"/>
    <w:rsid w:val="007E4192"/>
    <w:rsid w:val="007E55DE"/>
    <w:rsid w:val="007F3868"/>
    <w:rsid w:val="008015DC"/>
    <w:rsid w:val="00801923"/>
    <w:rsid w:val="008070AD"/>
    <w:rsid w:val="00813044"/>
    <w:rsid w:val="00816F90"/>
    <w:rsid w:val="008323A7"/>
    <w:rsid w:val="008471C6"/>
    <w:rsid w:val="00872720"/>
    <w:rsid w:val="00880E23"/>
    <w:rsid w:val="00881322"/>
    <w:rsid w:val="008A519C"/>
    <w:rsid w:val="008B579F"/>
    <w:rsid w:val="008B777E"/>
    <w:rsid w:val="008C0467"/>
    <w:rsid w:val="008D6457"/>
    <w:rsid w:val="008F7B43"/>
    <w:rsid w:val="00904789"/>
    <w:rsid w:val="0090606E"/>
    <w:rsid w:val="009278EE"/>
    <w:rsid w:val="00927A3C"/>
    <w:rsid w:val="00987661"/>
    <w:rsid w:val="009A3132"/>
    <w:rsid w:val="009D0BB9"/>
    <w:rsid w:val="009F1D54"/>
    <w:rsid w:val="009F4CFF"/>
    <w:rsid w:val="009F6683"/>
    <w:rsid w:val="00A04B05"/>
    <w:rsid w:val="00A15C8F"/>
    <w:rsid w:val="00A17CFE"/>
    <w:rsid w:val="00A37C31"/>
    <w:rsid w:val="00A46D13"/>
    <w:rsid w:val="00A516FE"/>
    <w:rsid w:val="00A634B9"/>
    <w:rsid w:val="00AA4D7A"/>
    <w:rsid w:val="00AA7A01"/>
    <w:rsid w:val="00AB028E"/>
    <w:rsid w:val="00AC1465"/>
    <w:rsid w:val="00AC245B"/>
    <w:rsid w:val="00B11931"/>
    <w:rsid w:val="00B11A7A"/>
    <w:rsid w:val="00B14381"/>
    <w:rsid w:val="00B4260D"/>
    <w:rsid w:val="00B45549"/>
    <w:rsid w:val="00B54735"/>
    <w:rsid w:val="00B64A28"/>
    <w:rsid w:val="00B657D7"/>
    <w:rsid w:val="00B83FFD"/>
    <w:rsid w:val="00B93E8E"/>
    <w:rsid w:val="00BC1DD5"/>
    <w:rsid w:val="00BD6037"/>
    <w:rsid w:val="00BE0717"/>
    <w:rsid w:val="00BE171A"/>
    <w:rsid w:val="00BE4EC7"/>
    <w:rsid w:val="00BE5EF2"/>
    <w:rsid w:val="00BE6ECA"/>
    <w:rsid w:val="00BF16DE"/>
    <w:rsid w:val="00C12D39"/>
    <w:rsid w:val="00C14B7C"/>
    <w:rsid w:val="00C161B8"/>
    <w:rsid w:val="00C355DE"/>
    <w:rsid w:val="00C3693B"/>
    <w:rsid w:val="00C437D2"/>
    <w:rsid w:val="00C43F65"/>
    <w:rsid w:val="00C80976"/>
    <w:rsid w:val="00C83E91"/>
    <w:rsid w:val="00C8478C"/>
    <w:rsid w:val="00C8492A"/>
    <w:rsid w:val="00C85262"/>
    <w:rsid w:val="00C9119F"/>
    <w:rsid w:val="00CA7348"/>
    <w:rsid w:val="00CA7A5F"/>
    <w:rsid w:val="00CB7729"/>
    <w:rsid w:val="00CD7055"/>
    <w:rsid w:val="00CF00BC"/>
    <w:rsid w:val="00D04793"/>
    <w:rsid w:val="00D1115A"/>
    <w:rsid w:val="00D24D56"/>
    <w:rsid w:val="00D26B0C"/>
    <w:rsid w:val="00D27F34"/>
    <w:rsid w:val="00D33CA5"/>
    <w:rsid w:val="00D46675"/>
    <w:rsid w:val="00D506A6"/>
    <w:rsid w:val="00D5584F"/>
    <w:rsid w:val="00D67E9D"/>
    <w:rsid w:val="00D7395B"/>
    <w:rsid w:val="00D94804"/>
    <w:rsid w:val="00DB11A4"/>
    <w:rsid w:val="00DD5D49"/>
    <w:rsid w:val="00DE318F"/>
    <w:rsid w:val="00DF70BC"/>
    <w:rsid w:val="00DF72B1"/>
    <w:rsid w:val="00DF7AB9"/>
    <w:rsid w:val="00E00C21"/>
    <w:rsid w:val="00E0377B"/>
    <w:rsid w:val="00E054DD"/>
    <w:rsid w:val="00E12726"/>
    <w:rsid w:val="00E12DFC"/>
    <w:rsid w:val="00E24DFC"/>
    <w:rsid w:val="00E279C2"/>
    <w:rsid w:val="00E27D94"/>
    <w:rsid w:val="00E369F3"/>
    <w:rsid w:val="00E45139"/>
    <w:rsid w:val="00E555E6"/>
    <w:rsid w:val="00E5666F"/>
    <w:rsid w:val="00E809CF"/>
    <w:rsid w:val="00E81EBE"/>
    <w:rsid w:val="00E82B8F"/>
    <w:rsid w:val="00E87A89"/>
    <w:rsid w:val="00EA1CE6"/>
    <w:rsid w:val="00EC6284"/>
    <w:rsid w:val="00ED26C4"/>
    <w:rsid w:val="00ED45A7"/>
    <w:rsid w:val="00EE58F9"/>
    <w:rsid w:val="00EE79C0"/>
    <w:rsid w:val="00F06B8A"/>
    <w:rsid w:val="00F14EEC"/>
    <w:rsid w:val="00F1527F"/>
    <w:rsid w:val="00F176A8"/>
    <w:rsid w:val="00F278D7"/>
    <w:rsid w:val="00F362BF"/>
    <w:rsid w:val="00F44C01"/>
    <w:rsid w:val="00F479C8"/>
    <w:rsid w:val="00F6272C"/>
    <w:rsid w:val="00F62F4A"/>
    <w:rsid w:val="00F75ACD"/>
    <w:rsid w:val="00F84533"/>
    <w:rsid w:val="00FA6614"/>
    <w:rsid w:val="00FA7EFC"/>
    <w:rsid w:val="00FC5C3C"/>
    <w:rsid w:val="00FC6242"/>
    <w:rsid w:val="00FD4B46"/>
    <w:rsid w:val="00FF2FC8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C20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E82B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qFormat/>
    <w:rsid w:val="002B32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352</cp:revision>
  <cp:lastPrinted>2022-04-07T06:02:00Z</cp:lastPrinted>
  <dcterms:created xsi:type="dcterms:W3CDTF">2021-11-23T06:12:00Z</dcterms:created>
  <dcterms:modified xsi:type="dcterms:W3CDTF">2022-07-04T10:26:00Z</dcterms:modified>
</cp:coreProperties>
</file>