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Pr="00AB1602" w:rsidRDefault="007B00E5">
      <w:pPr>
        <w:ind w:firstLine="540"/>
        <w:jc w:val="right"/>
        <w:rPr>
          <w:b/>
          <w:bCs/>
          <w:i/>
          <w:iCs/>
          <w:sz w:val="22"/>
          <w:szCs w:val="22"/>
        </w:rPr>
      </w:pPr>
      <w:proofErr w:type="spellStart"/>
      <w:r w:rsidRPr="00AB1602">
        <w:rPr>
          <w:b/>
          <w:bCs/>
          <w:i/>
          <w:iCs/>
          <w:sz w:val="22"/>
          <w:szCs w:val="22"/>
        </w:rPr>
        <w:t>И.о.</w:t>
      </w:r>
      <w:r w:rsidR="00E92848" w:rsidRPr="00AB1602">
        <w:rPr>
          <w:b/>
          <w:bCs/>
          <w:i/>
          <w:iCs/>
          <w:sz w:val="22"/>
          <w:szCs w:val="22"/>
        </w:rPr>
        <w:t>п</w:t>
      </w:r>
      <w:r w:rsidR="00D06B57" w:rsidRPr="00AB1602">
        <w:rPr>
          <w:b/>
          <w:bCs/>
          <w:i/>
          <w:iCs/>
          <w:sz w:val="22"/>
          <w:szCs w:val="22"/>
        </w:rPr>
        <w:t>редседател</w:t>
      </w:r>
      <w:r w:rsidR="00E92848" w:rsidRPr="00AB1602">
        <w:rPr>
          <w:b/>
          <w:bCs/>
          <w:i/>
          <w:iCs/>
          <w:sz w:val="22"/>
          <w:szCs w:val="22"/>
        </w:rPr>
        <w:t>я</w:t>
      </w:r>
      <w:proofErr w:type="spellEnd"/>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proofErr w:type="spellStart"/>
      <w:r w:rsidR="007B00E5" w:rsidRPr="00AB1602">
        <w:rPr>
          <w:b/>
          <w:bCs/>
          <w:i/>
          <w:iCs/>
          <w:sz w:val="22"/>
          <w:szCs w:val="22"/>
        </w:rPr>
        <w:t>Боранбаева</w:t>
      </w:r>
      <w:proofErr w:type="spellEnd"/>
      <w:r w:rsidR="007B00E5" w:rsidRPr="00AB1602">
        <w:rPr>
          <w:b/>
          <w:bCs/>
          <w:i/>
          <w:iCs/>
          <w:sz w:val="22"/>
          <w:szCs w:val="22"/>
        </w:rPr>
        <w:t xml:space="preserve"> Р.З.</w:t>
      </w:r>
    </w:p>
    <w:p w:rsidR="0021269E" w:rsidRPr="00AB1602" w:rsidRDefault="0021269E">
      <w:pPr>
        <w:ind w:firstLine="6300"/>
        <w:jc w:val="right"/>
        <w:rPr>
          <w:b/>
          <w:bCs/>
          <w:i/>
          <w:iCs/>
          <w:sz w:val="22"/>
          <w:szCs w:val="22"/>
          <w:u w:val="single"/>
        </w:rPr>
      </w:pPr>
      <w:r w:rsidRPr="00AB1602">
        <w:rPr>
          <w:b/>
          <w:bCs/>
          <w:i/>
          <w:iCs/>
          <w:sz w:val="22"/>
          <w:szCs w:val="22"/>
        </w:rPr>
        <w:t>Приказ №</w:t>
      </w:r>
      <w:r w:rsidR="0021496E">
        <w:rPr>
          <w:b/>
          <w:bCs/>
          <w:i/>
          <w:iCs/>
          <w:sz w:val="22"/>
          <w:szCs w:val="22"/>
        </w:rPr>
        <w:t>27-25/</w:t>
      </w:r>
      <w:r w:rsidR="00657E8C">
        <w:rPr>
          <w:b/>
          <w:bCs/>
          <w:i/>
          <w:iCs/>
          <w:sz w:val="22"/>
          <w:szCs w:val="22"/>
        </w:rPr>
        <w:t>308</w:t>
      </w:r>
    </w:p>
    <w:p w:rsidR="0021269E" w:rsidRPr="00AB1602" w:rsidRDefault="0021269E">
      <w:pPr>
        <w:ind w:firstLine="6300"/>
        <w:jc w:val="right"/>
        <w:rPr>
          <w:b/>
          <w:bCs/>
          <w:i/>
          <w:iCs/>
          <w:sz w:val="22"/>
          <w:szCs w:val="22"/>
        </w:rPr>
      </w:pPr>
      <w:r w:rsidRPr="00AB1602">
        <w:rPr>
          <w:b/>
          <w:bCs/>
          <w:i/>
          <w:iCs/>
          <w:sz w:val="22"/>
          <w:szCs w:val="22"/>
        </w:rPr>
        <w:t xml:space="preserve"> от «</w:t>
      </w:r>
      <w:r w:rsidR="00657E8C">
        <w:rPr>
          <w:b/>
          <w:bCs/>
          <w:i/>
          <w:iCs/>
          <w:sz w:val="22"/>
          <w:szCs w:val="22"/>
        </w:rPr>
        <w:t>13</w:t>
      </w:r>
      <w:r w:rsidRPr="00AB1602">
        <w:rPr>
          <w:b/>
          <w:bCs/>
          <w:i/>
          <w:iCs/>
          <w:sz w:val="22"/>
          <w:szCs w:val="22"/>
        </w:rPr>
        <w:t>»</w:t>
      </w:r>
      <w:r w:rsidR="0021496E">
        <w:rPr>
          <w:b/>
          <w:bCs/>
          <w:i/>
          <w:iCs/>
          <w:sz w:val="22"/>
          <w:szCs w:val="22"/>
        </w:rPr>
        <w:t xml:space="preserve"> </w:t>
      </w:r>
      <w:r w:rsidR="00657E8C">
        <w:rPr>
          <w:b/>
          <w:bCs/>
          <w:i/>
          <w:iCs/>
          <w:sz w:val="22"/>
          <w:szCs w:val="22"/>
        </w:rPr>
        <w:t xml:space="preserve">сентября </w:t>
      </w:r>
      <w:r w:rsidRPr="00AB1602">
        <w:rPr>
          <w:b/>
          <w:bCs/>
          <w:i/>
          <w:iCs/>
          <w:sz w:val="22"/>
          <w:szCs w:val="22"/>
        </w:rPr>
        <w:t>201</w:t>
      </w:r>
      <w:r w:rsidR="007B00E5" w:rsidRPr="00AB1602">
        <w:rPr>
          <w:b/>
          <w:bCs/>
          <w:i/>
          <w:iCs/>
          <w:sz w:val="22"/>
          <w:szCs w:val="22"/>
        </w:rPr>
        <w:t>9</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г.Алматы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лекарственных средств и изделий медицинского назначения" и "Не вскрывать до </w:t>
      </w:r>
      <w:r w:rsidR="00475EE5" w:rsidRPr="008B3348">
        <w:rPr>
          <w:sz w:val="24"/>
          <w:szCs w:val="24"/>
          <w:highlight w:val="yellow"/>
        </w:rPr>
        <w:t xml:space="preserve">15 часов 00 мин </w:t>
      </w:r>
      <w:r w:rsidR="00475EE5">
        <w:rPr>
          <w:sz w:val="24"/>
          <w:szCs w:val="24"/>
          <w:highlight w:val="yellow"/>
        </w:rPr>
        <w:t>«</w:t>
      </w:r>
      <w:r w:rsidR="00824A13" w:rsidRPr="00824A13">
        <w:rPr>
          <w:sz w:val="24"/>
          <w:szCs w:val="24"/>
          <w:highlight w:val="yellow"/>
        </w:rPr>
        <w:t>30</w:t>
      </w:r>
      <w:r w:rsidR="00475EE5">
        <w:rPr>
          <w:sz w:val="24"/>
          <w:szCs w:val="24"/>
          <w:highlight w:val="yellow"/>
        </w:rPr>
        <w:t xml:space="preserve">» </w:t>
      </w:r>
      <w:r w:rsidR="00657E8C">
        <w:rPr>
          <w:sz w:val="24"/>
          <w:szCs w:val="24"/>
          <w:highlight w:val="yellow"/>
        </w:rPr>
        <w:t xml:space="preserve">октября </w:t>
      </w:r>
      <w:r w:rsidR="00475EE5">
        <w:rPr>
          <w:sz w:val="24"/>
          <w:szCs w:val="24"/>
          <w:highlight w:val="yellow"/>
        </w:rPr>
        <w:t>2019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г.Алматы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10033B">
        <w:rPr>
          <w:highlight w:val="yellow"/>
          <w:lang w:val="en-US"/>
        </w:rPr>
        <w:t>30</w:t>
      </w:r>
      <w:bookmarkStart w:id="5" w:name="_GoBack"/>
      <w:bookmarkEnd w:id="5"/>
      <w:r w:rsidRPr="00B97AFB">
        <w:rPr>
          <w:highlight w:val="yellow"/>
        </w:rPr>
        <w:t xml:space="preserve">» </w:t>
      </w:r>
      <w:r w:rsidR="00657E8C">
        <w:rPr>
          <w:highlight w:val="yellow"/>
        </w:rPr>
        <w:t xml:space="preserve">октября </w:t>
      </w:r>
      <w:r w:rsidR="008A42D2" w:rsidRPr="00B97AFB">
        <w:rPr>
          <w:highlight w:val="yellow"/>
        </w:rPr>
        <w:t>201</w:t>
      </w:r>
      <w:r w:rsidR="00B97AFB">
        <w:rPr>
          <w:highlight w:val="yellow"/>
        </w:rPr>
        <w:t>9</w:t>
      </w:r>
      <w:r w:rsidRPr="00B97AFB">
        <w:rPr>
          <w:highlight w:val="yellow"/>
        </w:rPr>
        <w:t xml:space="preserve"> года 1</w:t>
      </w:r>
      <w:r w:rsidR="00DD5F5C" w:rsidRPr="00B97AFB">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sidRPr="008B3348">
        <w:rPr>
          <w:sz w:val="24"/>
          <w:szCs w:val="24"/>
          <w:highlight w:val="yellow"/>
        </w:rPr>
        <w:t>5</w:t>
      </w:r>
      <w:r w:rsidRPr="008B3348">
        <w:rPr>
          <w:sz w:val="24"/>
          <w:szCs w:val="24"/>
          <w:highlight w:val="yellow"/>
        </w:rPr>
        <w:t xml:space="preserve"> часов 00 мин «</w:t>
      </w:r>
      <w:r w:rsidR="00824A13" w:rsidRPr="00824A13">
        <w:rPr>
          <w:sz w:val="24"/>
          <w:szCs w:val="24"/>
          <w:highlight w:val="yellow"/>
        </w:rPr>
        <w:t>30</w:t>
      </w:r>
      <w:r w:rsidRPr="008B3348">
        <w:rPr>
          <w:sz w:val="24"/>
          <w:szCs w:val="24"/>
          <w:highlight w:val="yellow"/>
        </w:rPr>
        <w:t xml:space="preserve">» </w:t>
      </w:r>
      <w:r w:rsidR="00657E8C">
        <w:rPr>
          <w:sz w:val="24"/>
          <w:szCs w:val="24"/>
          <w:highlight w:val="yellow"/>
        </w:rPr>
        <w:t xml:space="preserve">октября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по адресу: </w:t>
      </w:r>
      <w:proofErr w:type="spellStart"/>
      <w:r w:rsidRPr="008B3348">
        <w:rPr>
          <w:sz w:val="24"/>
          <w:szCs w:val="24"/>
          <w:highlight w:val="yellow"/>
        </w:rPr>
        <w:t>г.Алматы</w:t>
      </w:r>
      <w:proofErr w:type="spellEnd"/>
      <w:r w:rsidRPr="008B3348">
        <w:rPr>
          <w:sz w:val="24"/>
          <w:szCs w:val="24"/>
          <w:highlight w:val="yellow"/>
        </w:rPr>
        <w:t xml:space="preserve">, </w:t>
      </w:r>
      <w:proofErr w:type="spellStart"/>
      <w:r w:rsidRPr="008B3348">
        <w:rPr>
          <w:sz w:val="24"/>
          <w:szCs w:val="24"/>
          <w:highlight w:val="yellow"/>
        </w:rPr>
        <w:t>пр.Аль-Фариби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824A13" w:rsidRPr="00824A13">
        <w:rPr>
          <w:sz w:val="24"/>
          <w:szCs w:val="24"/>
          <w:highlight w:val="yellow"/>
        </w:rPr>
        <w:t>30</w:t>
      </w:r>
      <w:r w:rsidRPr="008B3348">
        <w:rPr>
          <w:sz w:val="24"/>
          <w:szCs w:val="24"/>
          <w:highlight w:val="yellow"/>
        </w:rPr>
        <w:t>»</w:t>
      </w:r>
      <w:r w:rsidR="00435711" w:rsidRPr="008B3348">
        <w:rPr>
          <w:sz w:val="24"/>
          <w:szCs w:val="24"/>
          <w:highlight w:val="yellow"/>
        </w:rPr>
        <w:t xml:space="preserve"> </w:t>
      </w:r>
      <w:r w:rsidR="00657E8C">
        <w:rPr>
          <w:sz w:val="24"/>
          <w:szCs w:val="24"/>
          <w:highlight w:val="yellow"/>
        </w:rPr>
        <w:t xml:space="preserve">октября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с 1</w:t>
      </w:r>
      <w:r w:rsidR="000707AC" w:rsidRPr="008B3348">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6" w:name="SUB8600"/>
      <w:bookmarkEnd w:id="6"/>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7" w:name="SUB9100"/>
      <w:bookmarkEnd w:id="7"/>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8" w:name="SUB9200"/>
      <w:bookmarkEnd w:id="8"/>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9" w:name="SUB9300"/>
      <w:bookmarkEnd w:id="9"/>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9"/>
          <w:headerReference w:type="default" r:id="rId10"/>
          <w:footerReference w:type="even" r:id="rId11"/>
          <w:footerReference w:type="default" r:id="rId12"/>
          <w:headerReference w:type="first" r:id="rId13"/>
          <w:footerReference w:type="first" r:id="rId14"/>
          <w:pgSz w:w="11906" w:h="16838"/>
          <w:pgMar w:top="1134"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270C07" w:rsidRPr="00AB1602" w:rsidRDefault="00270C07" w:rsidP="006351F4">
      <w:pPr>
        <w:ind w:firstLine="540"/>
        <w:jc w:val="center"/>
        <w:rPr>
          <w:b/>
          <w:bCs/>
        </w:rPr>
      </w:pPr>
    </w:p>
    <w:tbl>
      <w:tblPr>
        <w:tblW w:w="5276" w:type="pct"/>
        <w:tblInd w:w="2" w:type="dxa"/>
        <w:tblLayout w:type="fixed"/>
        <w:tblCellMar>
          <w:left w:w="0" w:type="dxa"/>
          <w:right w:w="0" w:type="dxa"/>
        </w:tblCellMar>
        <w:tblLook w:val="0000" w:firstRow="0" w:lastRow="0" w:firstColumn="0" w:lastColumn="0" w:noHBand="0" w:noVBand="0"/>
      </w:tblPr>
      <w:tblGrid>
        <w:gridCol w:w="1001"/>
        <w:gridCol w:w="1807"/>
        <w:gridCol w:w="2588"/>
        <w:gridCol w:w="1315"/>
        <w:gridCol w:w="1376"/>
        <w:gridCol w:w="1584"/>
        <w:gridCol w:w="1480"/>
        <w:gridCol w:w="1471"/>
        <w:gridCol w:w="995"/>
        <w:gridCol w:w="1642"/>
      </w:tblGrid>
      <w:tr w:rsidR="004E305F" w:rsidRPr="00270C07" w:rsidTr="0096372E">
        <w:tc>
          <w:tcPr>
            <w:tcW w:w="328" w:type="pct"/>
            <w:tcBorders>
              <w:top w:val="single" w:sz="6" w:space="0" w:color="000000"/>
              <w:left w:val="single" w:sz="6" w:space="0" w:color="000000"/>
              <w:bottom w:val="nil"/>
              <w:right w:val="single" w:sz="5" w:space="0" w:color="000000"/>
            </w:tcBorders>
            <w:vAlign w:val="center"/>
          </w:tcPr>
          <w:p w:rsidR="004E305F" w:rsidRPr="00270C07" w:rsidRDefault="004E305F" w:rsidP="00FB1F46">
            <w:pPr>
              <w:spacing w:line="115" w:lineRule="atLeast"/>
              <w:jc w:val="center"/>
            </w:pPr>
            <w:r w:rsidRPr="00270C07">
              <w:rPr>
                <w:sz w:val="22"/>
              </w:rPr>
              <w:t>№ лота</w:t>
            </w:r>
          </w:p>
        </w:tc>
        <w:tc>
          <w:tcPr>
            <w:tcW w:w="592"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jc w:val="center"/>
            </w:pPr>
            <w:r w:rsidRPr="00270C07">
              <w:rPr>
                <w:sz w:val="22"/>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pPr>
            <w:r w:rsidRPr="00270C07">
              <w:rPr>
                <w:sz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pPr>
            <w:r w:rsidRPr="00270C07">
              <w:rPr>
                <w:sz w:val="22"/>
              </w:rPr>
              <w:t>Единица измерения</w:t>
            </w:r>
          </w:p>
        </w:tc>
        <w:tc>
          <w:tcPr>
            <w:tcW w:w="451"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pPr>
            <w:r w:rsidRPr="00270C07">
              <w:rPr>
                <w:sz w:val="22"/>
              </w:rPr>
              <w:t>Количество, объем</w:t>
            </w:r>
          </w:p>
        </w:tc>
        <w:tc>
          <w:tcPr>
            <w:tcW w:w="519"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pPr>
            <w:r w:rsidRPr="00270C07">
              <w:rPr>
                <w:sz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pPr>
            <w:r w:rsidRPr="00270C07">
              <w:rPr>
                <w:sz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pPr>
            <w:r w:rsidRPr="00270C07">
              <w:rPr>
                <w:sz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right="3"/>
              <w:jc w:val="center"/>
            </w:pPr>
            <w:r w:rsidRPr="00270C07">
              <w:rPr>
                <w:sz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270C07" w:rsidRDefault="004E305F" w:rsidP="00FB1F46">
            <w:pPr>
              <w:spacing w:line="115" w:lineRule="atLeast"/>
              <w:ind w:left="119"/>
              <w:jc w:val="center"/>
            </w:pPr>
            <w:r w:rsidRPr="00270C07">
              <w:rPr>
                <w:sz w:val="22"/>
              </w:rPr>
              <w:t>Сумма, выделенная для тендера, тенге</w:t>
            </w:r>
          </w:p>
        </w:tc>
      </w:tr>
      <w:tr w:rsidR="004E305F" w:rsidRPr="00270C07" w:rsidTr="0096372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270C07" w:rsidRDefault="004E305F" w:rsidP="00FB1F46">
            <w:pPr>
              <w:spacing w:line="65" w:lineRule="atLeast"/>
              <w:ind w:right="56" w:firstLine="6"/>
              <w:jc w:val="center"/>
              <w:rPr>
                <w:b/>
                <w:bCs/>
              </w:rPr>
            </w:pPr>
            <w:r w:rsidRPr="00270C07">
              <w:rPr>
                <w:b/>
                <w:bCs/>
                <w:sz w:val="22"/>
              </w:rPr>
              <w:t>1</w:t>
            </w:r>
          </w:p>
        </w:tc>
        <w:tc>
          <w:tcPr>
            <w:tcW w:w="592"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rPr>
            </w:pPr>
            <w:r w:rsidRPr="00270C07">
              <w:rPr>
                <w:b/>
                <w:bCs/>
                <w:sz w:val="22"/>
              </w:rPr>
              <w:t>2</w:t>
            </w:r>
          </w:p>
        </w:tc>
        <w:tc>
          <w:tcPr>
            <w:tcW w:w="848"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rPr>
            </w:pPr>
            <w:r w:rsidRPr="00270C07">
              <w:rPr>
                <w:b/>
                <w:bCs/>
                <w:sz w:val="22"/>
              </w:rPr>
              <w:t>3</w:t>
            </w:r>
          </w:p>
        </w:tc>
        <w:tc>
          <w:tcPr>
            <w:tcW w:w="431"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rPr>
            </w:pPr>
            <w:r w:rsidRPr="00270C07">
              <w:rPr>
                <w:b/>
                <w:bCs/>
                <w:sz w:val="22"/>
              </w:rPr>
              <w:t>4</w:t>
            </w:r>
          </w:p>
        </w:tc>
        <w:tc>
          <w:tcPr>
            <w:tcW w:w="451"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rPr>
            </w:pPr>
            <w:r w:rsidRPr="00270C07">
              <w:rPr>
                <w:b/>
                <w:bCs/>
                <w:sz w:val="22"/>
              </w:rPr>
              <w:t>5</w:t>
            </w:r>
          </w:p>
        </w:tc>
        <w:tc>
          <w:tcPr>
            <w:tcW w:w="519" w:type="pct"/>
            <w:tcBorders>
              <w:top w:val="single" w:sz="5" w:space="0" w:color="000000"/>
              <w:left w:val="nil"/>
              <w:bottom w:val="single" w:sz="4" w:space="0" w:color="auto"/>
              <w:right w:val="single" w:sz="5" w:space="0" w:color="000000"/>
            </w:tcBorders>
            <w:vAlign w:val="center"/>
          </w:tcPr>
          <w:p w:rsidR="004E305F" w:rsidRPr="00270C07" w:rsidRDefault="004E305F" w:rsidP="00FB1F46">
            <w:pPr>
              <w:spacing w:line="65" w:lineRule="atLeast"/>
              <w:ind w:right="56" w:firstLine="6"/>
              <w:jc w:val="center"/>
              <w:rPr>
                <w:b/>
                <w:bCs/>
              </w:rPr>
            </w:pPr>
            <w:r w:rsidRPr="00270C07">
              <w:rPr>
                <w:b/>
                <w:bCs/>
                <w:sz w:val="22"/>
              </w:rPr>
              <w:t>6</w:t>
            </w:r>
          </w:p>
        </w:tc>
        <w:tc>
          <w:tcPr>
            <w:tcW w:w="485"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rPr>
            </w:pPr>
            <w:r w:rsidRPr="00270C07">
              <w:rPr>
                <w:b/>
                <w:bCs/>
                <w:sz w:val="22"/>
              </w:rPr>
              <w:t>7</w:t>
            </w:r>
          </w:p>
        </w:tc>
        <w:tc>
          <w:tcPr>
            <w:tcW w:w="482"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rPr>
            </w:pPr>
            <w:r w:rsidRPr="00270C07">
              <w:rPr>
                <w:b/>
                <w:bCs/>
                <w:sz w:val="22"/>
              </w:rPr>
              <w:t>8</w:t>
            </w:r>
          </w:p>
        </w:tc>
        <w:tc>
          <w:tcPr>
            <w:tcW w:w="326"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rPr>
            </w:pPr>
            <w:r w:rsidRPr="00270C07">
              <w:rPr>
                <w:b/>
                <w:bCs/>
                <w:sz w:val="22"/>
              </w:rPr>
              <w:t>9</w:t>
            </w:r>
          </w:p>
        </w:tc>
        <w:tc>
          <w:tcPr>
            <w:tcW w:w="538" w:type="pct"/>
            <w:tcBorders>
              <w:top w:val="single" w:sz="5" w:space="0" w:color="000000"/>
              <w:left w:val="nil"/>
              <w:bottom w:val="single" w:sz="4" w:space="0" w:color="auto"/>
              <w:right w:val="single" w:sz="6" w:space="0" w:color="000000"/>
            </w:tcBorders>
          </w:tcPr>
          <w:p w:rsidR="004E305F" w:rsidRPr="00270C07" w:rsidRDefault="004E305F" w:rsidP="00FB1F46">
            <w:pPr>
              <w:spacing w:line="65" w:lineRule="atLeast"/>
              <w:ind w:right="56" w:firstLine="6"/>
              <w:jc w:val="center"/>
              <w:rPr>
                <w:b/>
                <w:bCs/>
              </w:rPr>
            </w:pPr>
            <w:r w:rsidRPr="00270C07">
              <w:rPr>
                <w:b/>
                <w:bCs/>
                <w:sz w:val="22"/>
              </w:rPr>
              <w:t>10</w:t>
            </w:r>
          </w:p>
        </w:tc>
      </w:tr>
      <w:tr w:rsidR="00270C07" w:rsidRPr="00270C07"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FB1F46">
            <w:pPr>
              <w:autoSpaceDE/>
              <w:autoSpaceDN/>
              <w:adjustRightInd/>
              <w:jc w:val="center"/>
              <w:rPr>
                <w:rFonts w:eastAsia="Times New Roman"/>
                <w:color w:val="000000"/>
              </w:rPr>
            </w:pPr>
            <w:r w:rsidRPr="00270C07">
              <w:rPr>
                <w:rFonts w:eastAsia="Times New Roman"/>
                <w:color w:val="000000"/>
                <w:sz w:val="22"/>
              </w:rPr>
              <w:t>1</w:t>
            </w:r>
          </w:p>
        </w:tc>
        <w:tc>
          <w:tcPr>
            <w:tcW w:w="592" w:type="pct"/>
            <w:tcBorders>
              <w:top w:val="single" w:sz="4" w:space="0" w:color="auto"/>
              <w:left w:val="single" w:sz="4" w:space="0" w:color="auto"/>
              <w:right w:val="single" w:sz="4" w:space="0" w:color="auto"/>
            </w:tcBorders>
            <w:vAlign w:val="center"/>
          </w:tcPr>
          <w:p w:rsidR="00270C07" w:rsidRPr="00270C07" w:rsidRDefault="00270C07" w:rsidP="00FB1F46">
            <w:pPr>
              <w:autoSpaceDE/>
              <w:autoSpaceDN/>
              <w:adjustRightInd/>
              <w:ind w:left="86" w:right="162"/>
              <w:rPr>
                <w:rFonts w:eastAsia="Times New Roman"/>
                <w:color w:val="000000"/>
              </w:rPr>
            </w:pPr>
            <w:r w:rsidRPr="00270C07">
              <w:rPr>
                <w:rFonts w:eastAsia="Times New Roman"/>
                <w:color w:val="000000"/>
                <w:sz w:val="22"/>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270C07" w:rsidRPr="00D008C9" w:rsidRDefault="00E8658F" w:rsidP="00270C07">
            <w:pPr>
              <w:rPr>
                <w:sz w:val="20"/>
                <w:szCs w:val="20"/>
              </w:rPr>
            </w:pPr>
            <w:r w:rsidRPr="00E8658F">
              <w:rPr>
                <w:sz w:val="20"/>
                <w:szCs w:val="20"/>
              </w:rPr>
              <w:t xml:space="preserve">Прибор для упаковки методом </w:t>
            </w:r>
            <w:proofErr w:type="spellStart"/>
            <w:r w:rsidRPr="00E8658F">
              <w:rPr>
                <w:sz w:val="20"/>
                <w:szCs w:val="20"/>
              </w:rPr>
              <w:t>термосварки</w:t>
            </w:r>
            <w:proofErr w:type="spellEnd"/>
            <w:r w:rsidRPr="00E8658F">
              <w:rPr>
                <w:sz w:val="20"/>
                <w:szCs w:val="20"/>
              </w:rPr>
              <w:t>, для Медицинской стерилизационной системы STERRAD 100S</w:t>
            </w:r>
          </w:p>
        </w:tc>
        <w:tc>
          <w:tcPr>
            <w:tcW w:w="431"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842FAA">
            <w:pPr>
              <w:jc w:val="center"/>
            </w:pPr>
            <w:proofErr w:type="spellStart"/>
            <w:r>
              <w:rPr>
                <w:sz w:val="22"/>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270C07" w:rsidRPr="00E8658F" w:rsidRDefault="00E8658F" w:rsidP="00E92848">
            <w:pPr>
              <w:jc w:val="center"/>
              <w:rPr>
                <w:lang w:val="en-US"/>
              </w:rPr>
            </w:pPr>
            <w:r>
              <w:rPr>
                <w:sz w:val="22"/>
                <w:lang w:val="en-US"/>
              </w:rPr>
              <w:t>2</w:t>
            </w:r>
          </w:p>
        </w:tc>
        <w:tc>
          <w:tcPr>
            <w:tcW w:w="519" w:type="pct"/>
            <w:tcBorders>
              <w:top w:val="single" w:sz="4" w:space="0" w:color="auto"/>
              <w:left w:val="single" w:sz="4" w:space="0" w:color="auto"/>
              <w:right w:val="single" w:sz="4" w:space="0" w:color="auto"/>
            </w:tcBorders>
            <w:vAlign w:val="center"/>
          </w:tcPr>
          <w:p w:rsidR="00270C07" w:rsidRPr="00270C07" w:rsidRDefault="00270C07" w:rsidP="00FB1F46">
            <w:pPr>
              <w:spacing w:line="65" w:lineRule="atLeast"/>
              <w:ind w:left="119"/>
              <w:jc w:val="center"/>
              <w:rPr>
                <w:b/>
                <w:bCs/>
              </w:rPr>
            </w:pPr>
            <w:r w:rsidRPr="00270C07">
              <w:rPr>
                <w:sz w:val="22"/>
              </w:rPr>
              <w:t>DDP</w:t>
            </w:r>
          </w:p>
        </w:tc>
        <w:tc>
          <w:tcPr>
            <w:tcW w:w="485" w:type="pct"/>
            <w:tcBorders>
              <w:top w:val="single" w:sz="4" w:space="0" w:color="auto"/>
              <w:left w:val="single" w:sz="4" w:space="0" w:color="auto"/>
              <w:right w:val="single" w:sz="4" w:space="0" w:color="auto"/>
            </w:tcBorders>
            <w:vAlign w:val="center"/>
          </w:tcPr>
          <w:p w:rsidR="00270C07" w:rsidRPr="00270C07" w:rsidRDefault="00270C07" w:rsidP="00FB1F46">
            <w:pPr>
              <w:ind w:left="119" w:right="85"/>
              <w:jc w:val="center"/>
            </w:pPr>
            <w:r w:rsidRPr="00270C07">
              <w:rPr>
                <w:sz w:val="22"/>
              </w:rPr>
              <w:t>В течение 3 (трех) рабочих дней со дня поступления Заявки, до 31 декабря 2019 года</w:t>
            </w:r>
          </w:p>
        </w:tc>
        <w:tc>
          <w:tcPr>
            <w:tcW w:w="482" w:type="pct"/>
            <w:tcBorders>
              <w:top w:val="single" w:sz="4" w:space="0" w:color="auto"/>
              <w:left w:val="single" w:sz="4" w:space="0" w:color="auto"/>
              <w:right w:val="single" w:sz="4" w:space="0" w:color="auto"/>
            </w:tcBorders>
            <w:vAlign w:val="center"/>
          </w:tcPr>
          <w:p w:rsidR="00270C07" w:rsidRPr="00270C07" w:rsidRDefault="00270C07" w:rsidP="00FB1F46">
            <w:pPr>
              <w:ind w:left="119" w:right="85"/>
              <w:jc w:val="center"/>
            </w:pPr>
            <w:r w:rsidRPr="00270C07">
              <w:rPr>
                <w:sz w:val="22"/>
              </w:rPr>
              <w:t>г. Алматы, пр. Аль-</w:t>
            </w:r>
            <w:proofErr w:type="spellStart"/>
            <w:r w:rsidRPr="00270C07">
              <w:rPr>
                <w:sz w:val="22"/>
              </w:rPr>
              <w:t>Фараби</w:t>
            </w:r>
            <w:proofErr w:type="spellEnd"/>
            <w:r w:rsidRPr="00270C07">
              <w:rPr>
                <w:sz w:val="22"/>
              </w:rPr>
              <w:t>, 146</w:t>
            </w:r>
          </w:p>
        </w:tc>
        <w:tc>
          <w:tcPr>
            <w:tcW w:w="326" w:type="pct"/>
            <w:tcBorders>
              <w:top w:val="single" w:sz="4" w:space="0" w:color="auto"/>
              <w:left w:val="single" w:sz="4" w:space="0" w:color="auto"/>
              <w:right w:val="single" w:sz="4" w:space="0" w:color="auto"/>
            </w:tcBorders>
            <w:vAlign w:val="center"/>
          </w:tcPr>
          <w:p w:rsidR="00270C07" w:rsidRPr="00270C07" w:rsidRDefault="00270C07" w:rsidP="00FB1F46">
            <w:pPr>
              <w:ind w:left="119" w:right="85"/>
              <w:jc w:val="center"/>
            </w:pPr>
            <w:r w:rsidRPr="00270C07">
              <w:rPr>
                <w:sz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270C07" w:rsidRPr="007E5008" w:rsidRDefault="00E8658F" w:rsidP="00270C07">
            <w:pPr>
              <w:jc w:val="center"/>
              <w:rPr>
                <w:color w:val="000000"/>
                <w:sz w:val="20"/>
                <w:szCs w:val="20"/>
              </w:rPr>
            </w:pPr>
            <w:r>
              <w:rPr>
                <w:color w:val="000000"/>
                <w:sz w:val="20"/>
                <w:szCs w:val="20"/>
                <w:lang w:val="en-US"/>
              </w:rPr>
              <w:t>9 600 000</w:t>
            </w:r>
            <w:r w:rsidR="00270C07">
              <w:rPr>
                <w:color w:val="000000"/>
                <w:sz w:val="20"/>
                <w:szCs w:val="20"/>
              </w:rPr>
              <w:t>,00</w:t>
            </w:r>
          </w:p>
        </w:tc>
      </w:tr>
      <w:tr w:rsidR="00270C07" w:rsidRPr="00270C07" w:rsidTr="0096372E">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270C07" w:rsidRPr="00270C07" w:rsidRDefault="00270C07" w:rsidP="00FB1F46">
            <w:pPr>
              <w:autoSpaceDE/>
              <w:autoSpaceDN/>
              <w:adjustRightInd/>
              <w:jc w:val="center"/>
              <w:rPr>
                <w:rFonts w:eastAsia="Times New Roman"/>
                <w:color w:val="000000"/>
              </w:rPr>
            </w:pPr>
          </w:p>
        </w:tc>
        <w:tc>
          <w:tcPr>
            <w:tcW w:w="592"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FB1F46">
            <w:pPr>
              <w:autoSpaceDE/>
              <w:autoSpaceDN/>
              <w:adjustRightInd/>
              <w:ind w:left="86" w:right="162"/>
              <w:rPr>
                <w:rFonts w:eastAsia="Times New Roman"/>
                <w:color w:val="000000"/>
              </w:rPr>
            </w:pPr>
          </w:p>
        </w:tc>
        <w:tc>
          <w:tcPr>
            <w:tcW w:w="848" w:type="pct"/>
            <w:tcBorders>
              <w:top w:val="single" w:sz="4" w:space="0" w:color="auto"/>
              <w:left w:val="single" w:sz="4" w:space="0" w:color="auto"/>
              <w:bottom w:val="single" w:sz="4" w:space="0" w:color="auto"/>
              <w:right w:val="single" w:sz="5" w:space="0" w:color="000000"/>
            </w:tcBorders>
          </w:tcPr>
          <w:p w:rsidR="00270C07" w:rsidRPr="00270C07" w:rsidRDefault="00270C07" w:rsidP="00FB1F46">
            <w:pPr>
              <w:autoSpaceDE/>
              <w:autoSpaceDN/>
              <w:adjustRightInd/>
              <w:ind w:left="175"/>
              <w:rPr>
                <w:rFonts w:eastAsia="Times New Roman"/>
                <w:color w:val="000000"/>
              </w:rPr>
            </w:pPr>
            <w:r w:rsidRPr="00270C07">
              <w:rPr>
                <w:b/>
                <w:bCs/>
                <w:sz w:val="22"/>
              </w:rPr>
              <w:t>Всего:</w:t>
            </w:r>
          </w:p>
        </w:tc>
        <w:tc>
          <w:tcPr>
            <w:tcW w:w="431" w:type="pct"/>
            <w:tcBorders>
              <w:top w:val="single" w:sz="4" w:space="0" w:color="auto"/>
              <w:left w:val="nil"/>
              <w:bottom w:val="single" w:sz="4" w:space="0" w:color="auto"/>
              <w:right w:val="single" w:sz="5" w:space="0" w:color="000000"/>
            </w:tcBorders>
            <w:vAlign w:val="center"/>
          </w:tcPr>
          <w:p w:rsidR="00270C07" w:rsidRPr="00270C07" w:rsidRDefault="00270C07" w:rsidP="00FB1F46">
            <w:pPr>
              <w:autoSpaceDE/>
              <w:autoSpaceDN/>
              <w:adjustRightInd/>
              <w:jc w:val="center"/>
              <w:rPr>
                <w:rFonts w:eastAsia="Times New Roman"/>
                <w:color w:val="000000"/>
              </w:rPr>
            </w:pPr>
          </w:p>
        </w:tc>
        <w:tc>
          <w:tcPr>
            <w:tcW w:w="451" w:type="pct"/>
            <w:tcBorders>
              <w:top w:val="single" w:sz="4" w:space="0" w:color="auto"/>
              <w:left w:val="nil"/>
              <w:bottom w:val="single" w:sz="4" w:space="0" w:color="auto"/>
              <w:right w:val="single" w:sz="4" w:space="0" w:color="auto"/>
            </w:tcBorders>
            <w:vAlign w:val="center"/>
          </w:tcPr>
          <w:p w:rsidR="00270C07" w:rsidRPr="00270C07" w:rsidRDefault="00270C07" w:rsidP="00FB1F46">
            <w:pPr>
              <w:autoSpaceDE/>
              <w:autoSpaceDN/>
              <w:adjustRightInd/>
              <w:jc w:val="center"/>
              <w:rPr>
                <w:rFonts w:eastAsia="Times New Roman"/>
                <w:color w:val="000000"/>
              </w:rPr>
            </w:pPr>
          </w:p>
        </w:tc>
        <w:tc>
          <w:tcPr>
            <w:tcW w:w="519"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jc w:val="both"/>
              <w:rPr>
                <w:b/>
                <w:bCs/>
              </w:rPr>
            </w:pPr>
          </w:p>
        </w:tc>
        <w:tc>
          <w:tcPr>
            <w:tcW w:w="485"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firstLine="540"/>
              <w:jc w:val="both"/>
              <w:rPr>
                <w:b/>
                <w:bCs/>
              </w:rPr>
            </w:pPr>
          </w:p>
        </w:tc>
        <w:tc>
          <w:tcPr>
            <w:tcW w:w="482"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firstLine="540"/>
              <w:jc w:val="both"/>
              <w:rPr>
                <w:b/>
                <w:bCs/>
              </w:rPr>
            </w:pPr>
          </w:p>
        </w:tc>
        <w:tc>
          <w:tcPr>
            <w:tcW w:w="326"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firstLine="540"/>
              <w:jc w:val="both"/>
              <w:rPr>
                <w:b/>
                <w:bCs/>
              </w:rPr>
            </w:pPr>
          </w:p>
        </w:tc>
        <w:tc>
          <w:tcPr>
            <w:tcW w:w="538" w:type="pct"/>
            <w:tcBorders>
              <w:top w:val="single" w:sz="4" w:space="0" w:color="auto"/>
              <w:left w:val="single" w:sz="4" w:space="0" w:color="auto"/>
              <w:bottom w:val="single" w:sz="4" w:space="0" w:color="auto"/>
              <w:right w:val="single" w:sz="6" w:space="0" w:color="000000"/>
            </w:tcBorders>
            <w:vAlign w:val="center"/>
          </w:tcPr>
          <w:p w:rsidR="00270C07" w:rsidRPr="00AB1602" w:rsidRDefault="00E8658F" w:rsidP="00270C07">
            <w:pPr>
              <w:jc w:val="center"/>
              <w:rPr>
                <w:b/>
                <w:sz w:val="20"/>
                <w:szCs w:val="20"/>
              </w:rPr>
            </w:pPr>
            <w:r>
              <w:rPr>
                <w:b/>
                <w:sz w:val="20"/>
                <w:szCs w:val="20"/>
                <w:lang w:val="en-US"/>
              </w:rPr>
              <w:t>9 600</w:t>
            </w:r>
            <w:r w:rsidR="00270C07">
              <w:rPr>
                <w:b/>
                <w:sz w:val="20"/>
                <w:szCs w:val="20"/>
              </w:rPr>
              <w:t xml:space="preserve"> </w:t>
            </w:r>
            <w:r w:rsidR="00270C07" w:rsidRPr="00270C07">
              <w:rPr>
                <w:b/>
                <w:sz w:val="20"/>
                <w:szCs w:val="20"/>
              </w:rPr>
              <w:t>000</w:t>
            </w:r>
            <w:r w:rsidR="00270C07">
              <w:rPr>
                <w:b/>
                <w:sz w:val="20"/>
                <w:szCs w:val="20"/>
              </w:rPr>
              <w:t>,00</w:t>
            </w:r>
          </w:p>
        </w:tc>
      </w:tr>
    </w:tbl>
    <w:p w:rsidR="004E305F" w:rsidRPr="00AB1602" w:rsidRDefault="004E305F" w:rsidP="006351F4">
      <w:pPr>
        <w:ind w:firstLine="540"/>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p w:rsidR="006351F4" w:rsidRPr="00AB1602"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B689E" w:rsidP="00F15E9C">
            <w:pPr>
              <w:jc w:val="both"/>
              <w:rPr>
                <w:b/>
                <w:bCs/>
              </w:rPr>
            </w:pPr>
            <w:proofErr w:type="spellStart"/>
            <w:r w:rsidRPr="00AB1602">
              <w:rPr>
                <w:b/>
                <w:bCs/>
              </w:rPr>
              <w:t>И.о.п</w:t>
            </w:r>
            <w:r w:rsidR="00D06B57" w:rsidRPr="00AB1602">
              <w:rPr>
                <w:b/>
                <w:bCs/>
              </w:rPr>
              <w:t>редседатель</w:t>
            </w:r>
            <w:proofErr w:type="spellEnd"/>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Pr="00AB1602">
              <w:rPr>
                <w:b/>
                <w:bCs/>
              </w:rPr>
              <w:t xml:space="preserve">__  </w:t>
            </w:r>
            <w:proofErr w:type="spellStart"/>
            <w:r w:rsidR="00F15E9C" w:rsidRPr="00AB1602">
              <w:rPr>
                <w:b/>
                <w:bCs/>
              </w:rPr>
              <w:t>Боранбаева</w:t>
            </w:r>
            <w:proofErr w:type="spellEnd"/>
            <w:r w:rsidR="00F15E9C" w:rsidRPr="00AB1602">
              <w:rPr>
                <w:b/>
                <w:bCs/>
              </w:rPr>
              <w:t xml:space="preserve"> Р.З.</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t>Приложение 2</w:t>
      </w:r>
    </w:p>
    <w:p w:rsidR="0021269E" w:rsidRPr="00AB1602" w:rsidRDefault="0021269E">
      <w:pPr>
        <w:ind w:firstLine="540"/>
        <w:jc w:val="right"/>
      </w:pPr>
      <w:r w:rsidRPr="00AB1602">
        <w:t>к  Тендерной документации</w:t>
      </w:r>
    </w:p>
    <w:p w:rsidR="004E305F" w:rsidRPr="00AB1602" w:rsidRDefault="0021269E">
      <w:pPr>
        <w:ind w:firstLine="540"/>
        <w:jc w:val="center"/>
        <w:rPr>
          <w:b/>
          <w:bCs/>
        </w:rPr>
      </w:pPr>
      <w:r w:rsidRPr="001019BD">
        <w:rPr>
          <w:b/>
          <w:bCs/>
          <w:sz w:val="20"/>
          <w:szCs w:val="20"/>
        </w:rPr>
        <w:t>ТЕХНИЧЕСКАЯ СПЕЦИФИКАЦИЯ</w:t>
      </w:r>
    </w:p>
    <w:tbl>
      <w:tblPr>
        <w:tblW w:w="14616" w:type="dxa"/>
        <w:tblInd w:w="93" w:type="dxa"/>
        <w:tblLook w:val="04A0" w:firstRow="1" w:lastRow="0" w:firstColumn="1" w:lastColumn="0" w:noHBand="0" w:noVBand="1"/>
      </w:tblPr>
      <w:tblGrid>
        <w:gridCol w:w="1111"/>
        <w:gridCol w:w="9773"/>
        <w:gridCol w:w="3732"/>
      </w:tblGrid>
      <w:tr w:rsidR="00E8658F" w:rsidRPr="00E8658F" w:rsidTr="00E8658F">
        <w:trPr>
          <w:trHeight w:val="724"/>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b/>
                <w:bCs/>
                <w:color w:val="000000"/>
              </w:rPr>
            </w:pPr>
            <w:r w:rsidRPr="00E8658F">
              <w:rPr>
                <w:rFonts w:eastAsia="Times New Roman"/>
                <w:b/>
                <w:bCs/>
                <w:color w:val="000000"/>
              </w:rPr>
              <w:t>№ п/п</w:t>
            </w:r>
          </w:p>
        </w:tc>
        <w:tc>
          <w:tcPr>
            <w:tcW w:w="9773" w:type="dxa"/>
            <w:tcBorders>
              <w:top w:val="single" w:sz="4" w:space="0" w:color="auto"/>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b/>
                <w:bCs/>
                <w:color w:val="000000"/>
              </w:rPr>
            </w:pPr>
            <w:r w:rsidRPr="00E8658F">
              <w:rPr>
                <w:rFonts w:eastAsia="Times New Roman"/>
                <w:b/>
                <w:bCs/>
                <w:color w:val="000000"/>
              </w:rPr>
              <w:t>Наименование/описание параметра</w:t>
            </w:r>
          </w:p>
        </w:tc>
        <w:tc>
          <w:tcPr>
            <w:tcW w:w="3732" w:type="dxa"/>
            <w:tcBorders>
              <w:top w:val="single" w:sz="4" w:space="0" w:color="auto"/>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b/>
                <w:bCs/>
                <w:color w:val="000000"/>
              </w:rPr>
            </w:pPr>
            <w:r w:rsidRPr="00E8658F">
              <w:rPr>
                <w:rFonts w:eastAsia="Times New Roman"/>
                <w:b/>
                <w:bCs/>
                <w:color w:val="000000"/>
              </w:rPr>
              <w:t>Требования к поставляемому товару</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w:t>
            </w:r>
          </w:p>
        </w:tc>
        <w:tc>
          <w:tcPr>
            <w:tcW w:w="9773" w:type="dxa"/>
            <w:tcBorders>
              <w:top w:val="nil"/>
              <w:left w:val="nil"/>
              <w:bottom w:val="single" w:sz="4" w:space="0" w:color="auto"/>
              <w:right w:val="single" w:sz="4" w:space="0" w:color="auto"/>
            </w:tcBorders>
            <w:shd w:val="clear" w:color="auto" w:fill="auto"/>
            <w:hideMark/>
          </w:tcPr>
          <w:p w:rsidR="00E8658F" w:rsidRPr="00E8658F" w:rsidRDefault="00E8658F" w:rsidP="00E8658F">
            <w:pPr>
              <w:autoSpaceDE/>
              <w:autoSpaceDN/>
              <w:adjustRightInd/>
              <w:rPr>
                <w:rFonts w:eastAsia="Times New Roman"/>
                <w:b/>
                <w:bCs/>
                <w:color w:val="000000"/>
              </w:rPr>
            </w:pPr>
            <w:r w:rsidRPr="00E8658F">
              <w:rPr>
                <w:b/>
                <w:sz w:val="20"/>
                <w:szCs w:val="20"/>
              </w:rPr>
              <w:t xml:space="preserve">Прибор для упаковки методом </w:t>
            </w:r>
            <w:proofErr w:type="spellStart"/>
            <w:r w:rsidRPr="00E8658F">
              <w:rPr>
                <w:b/>
                <w:sz w:val="20"/>
                <w:szCs w:val="20"/>
              </w:rPr>
              <w:t>термосварки</w:t>
            </w:r>
            <w:proofErr w:type="spellEnd"/>
            <w:r w:rsidRPr="00E8658F">
              <w:rPr>
                <w:b/>
                <w:sz w:val="20"/>
                <w:szCs w:val="20"/>
              </w:rPr>
              <w:t>, для Медицинской стерилизационной системы STERRAD 100S</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1</w:t>
            </w:r>
          </w:p>
        </w:tc>
        <w:tc>
          <w:tcPr>
            <w:tcW w:w="9773" w:type="dxa"/>
            <w:tcBorders>
              <w:top w:val="nil"/>
              <w:left w:val="nil"/>
              <w:bottom w:val="single" w:sz="4" w:space="0" w:color="auto"/>
              <w:right w:val="single" w:sz="4" w:space="0" w:color="auto"/>
            </w:tcBorders>
            <w:shd w:val="clear" w:color="auto" w:fill="auto"/>
            <w:hideMark/>
          </w:tcPr>
          <w:p w:rsidR="00E8658F" w:rsidRPr="00E8658F" w:rsidRDefault="00E8658F" w:rsidP="00E8658F">
            <w:pPr>
              <w:autoSpaceDE/>
              <w:autoSpaceDN/>
              <w:adjustRightInd/>
              <w:rPr>
                <w:rFonts w:eastAsia="Times New Roman"/>
                <w:b/>
                <w:bCs/>
                <w:color w:val="000000"/>
              </w:rPr>
            </w:pPr>
            <w:r w:rsidRPr="00E8658F">
              <w:rPr>
                <w:rFonts w:eastAsia="Times New Roman"/>
                <w:b/>
                <w:bCs/>
                <w:color w:val="000000"/>
              </w:rPr>
              <w:t xml:space="preserve">Назначение:   </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1.1</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Оборудование предназначено для автоматической фиксации упаковок с медицинскими инструментами, подлежащими стерилизации, путем термического скрепления (сварки).</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w:t>
            </w:r>
          </w:p>
        </w:tc>
        <w:tc>
          <w:tcPr>
            <w:tcW w:w="9773" w:type="dxa"/>
            <w:tcBorders>
              <w:top w:val="nil"/>
              <w:left w:val="nil"/>
              <w:bottom w:val="single" w:sz="4" w:space="0" w:color="auto"/>
              <w:right w:val="single" w:sz="4" w:space="0" w:color="auto"/>
            </w:tcBorders>
            <w:shd w:val="clear" w:color="auto" w:fill="auto"/>
            <w:hideMark/>
          </w:tcPr>
          <w:p w:rsidR="00E8658F" w:rsidRPr="00E8658F" w:rsidRDefault="00E8658F" w:rsidP="00E8658F">
            <w:pPr>
              <w:autoSpaceDE/>
              <w:autoSpaceDN/>
              <w:adjustRightInd/>
              <w:rPr>
                <w:rFonts w:eastAsia="Times New Roman"/>
                <w:b/>
                <w:bCs/>
                <w:color w:val="000000"/>
              </w:rPr>
            </w:pPr>
            <w:r w:rsidRPr="00E8658F">
              <w:rPr>
                <w:rFonts w:eastAsia="Times New Roman"/>
                <w:b/>
                <w:bCs/>
                <w:color w:val="000000"/>
              </w:rPr>
              <w:t>Характеристики:</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Аппарат предназначен для запаивания упаковок с медицинскими инструментами перед их стерилизацией.</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94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2.2</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 xml:space="preserve">Аппарат рассчитан на обработку термопластичных и многокомпонентных  пленок, в том числе, пленок </w:t>
            </w:r>
            <w:proofErr w:type="spellStart"/>
            <w:r w:rsidRPr="00E8658F">
              <w:rPr>
                <w:rFonts w:eastAsia="Times New Roman"/>
                <w:color w:val="000000"/>
              </w:rPr>
              <w:t>Tyvek</w:t>
            </w:r>
            <w:proofErr w:type="spellEnd"/>
            <w:r w:rsidRPr="00E8658F">
              <w:rPr>
                <w:rFonts w:eastAsia="Times New Roman"/>
                <w:color w:val="000000"/>
              </w:rPr>
              <w:t xml:space="preserve"> для плазменной стерилизации, путем их термического скрепления (сварки).</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2.3</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Максимальная ширина запаиваемого материала неограниченна.</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2.4</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Ширина шва не менее 10 мм</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12 мм</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2.5</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Корпус из нержавеющей стали</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2.6</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 xml:space="preserve">Встроенный ж/к дисплей </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2.7</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Встроенный принтер, фиксирующий дату упаковки на запаиваемом пакете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2.8</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Принтер позволяет печатать дату окончания срока сохранения стерильности инструментов в упаковке.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2.9</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 xml:space="preserve">Функция тестовой печати параметров запаивания (давление прижима, температура запаивания) для контроля качества упаковывания </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2.10</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 xml:space="preserve">Диапазон установки температуры запайки в </w:t>
            </w:r>
            <w:proofErr w:type="spellStart"/>
            <w:r w:rsidRPr="00E8658F">
              <w:rPr>
                <w:rFonts w:eastAsia="Times New Roman"/>
                <w:color w:val="000000"/>
              </w:rPr>
              <w:t>термоупаковочной</w:t>
            </w:r>
            <w:proofErr w:type="spellEnd"/>
            <w:r w:rsidRPr="00E8658F">
              <w:rPr>
                <w:rFonts w:eastAsia="Times New Roman"/>
                <w:color w:val="000000"/>
              </w:rPr>
              <w:t xml:space="preserve"> машине, °С</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от 70 до 220°С</w:t>
            </w:r>
          </w:p>
        </w:tc>
      </w:tr>
      <w:tr w:rsidR="00E8658F" w:rsidRPr="00E8658F" w:rsidTr="00E8658F">
        <w:trPr>
          <w:trHeight w:val="1081"/>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2.11</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Автоматический контроль соблюдения заданного температурного режима</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 (с помощью встроенного микропроцессора)</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2.12</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 xml:space="preserve">Возможность программирования трех предустановленных режимов работы </w:t>
            </w:r>
            <w:proofErr w:type="spellStart"/>
            <w:r w:rsidRPr="00E8658F">
              <w:rPr>
                <w:rFonts w:eastAsia="Times New Roman"/>
                <w:color w:val="000000"/>
              </w:rPr>
              <w:t>термоупаковочной</w:t>
            </w:r>
            <w:proofErr w:type="spellEnd"/>
            <w:r w:rsidRPr="00E8658F">
              <w:rPr>
                <w:rFonts w:eastAsia="Times New Roman"/>
                <w:color w:val="000000"/>
              </w:rPr>
              <w:t xml:space="preserve"> машины с разной температурой запайки пакетов</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2.13</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Скорость запаивания, не менее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10 м/мин</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2.14</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Автоматическое включение лентопротяжного механизма при внесении пакета в приемный порт</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2.15</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Потребляемая мощность не более 500В</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500В</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2.16</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Вес не более 25 кг</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23 кг</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2.17</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Инструкция по применению на русском языке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2.18</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Срок гарантийного обслуживания, не менее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12 месяцев</w:t>
            </w:r>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3</w:t>
            </w:r>
          </w:p>
        </w:tc>
        <w:tc>
          <w:tcPr>
            <w:tcW w:w="9773" w:type="dxa"/>
            <w:tcBorders>
              <w:top w:val="nil"/>
              <w:left w:val="nil"/>
              <w:bottom w:val="single" w:sz="4" w:space="0" w:color="auto"/>
              <w:right w:val="single" w:sz="4" w:space="0" w:color="auto"/>
            </w:tcBorders>
            <w:shd w:val="clear" w:color="auto" w:fill="auto"/>
            <w:hideMark/>
          </w:tcPr>
          <w:p w:rsidR="00E8658F" w:rsidRPr="00E8658F" w:rsidRDefault="00E8658F" w:rsidP="00E8658F">
            <w:pPr>
              <w:autoSpaceDE/>
              <w:autoSpaceDN/>
              <w:adjustRightInd/>
              <w:rPr>
                <w:rFonts w:eastAsia="Times New Roman"/>
                <w:b/>
                <w:bCs/>
                <w:color w:val="000000"/>
              </w:rPr>
            </w:pPr>
            <w:r w:rsidRPr="00E8658F">
              <w:rPr>
                <w:rFonts w:eastAsia="Times New Roman"/>
                <w:b/>
                <w:bCs/>
                <w:color w:val="000000"/>
                <w:sz w:val="22"/>
                <w:szCs w:val="22"/>
              </w:rPr>
              <w:t>Комплектность поставки:</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3.1</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proofErr w:type="spellStart"/>
            <w:r w:rsidRPr="00E8658F">
              <w:rPr>
                <w:rFonts w:eastAsia="Times New Roman"/>
                <w:color w:val="000000"/>
              </w:rPr>
              <w:t>Термоупаковочная</w:t>
            </w:r>
            <w:proofErr w:type="spellEnd"/>
            <w:r w:rsidRPr="00E8658F">
              <w:rPr>
                <w:rFonts w:eastAsia="Times New Roman"/>
                <w:color w:val="000000"/>
              </w:rPr>
              <w:t xml:space="preserve"> машина, оснащенная встроенным ж/к дисплеем и принтером для печати даты упаковки.</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xml:space="preserve">1 </w:t>
            </w:r>
            <w:proofErr w:type="spellStart"/>
            <w:r w:rsidRPr="00E8658F">
              <w:rPr>
                <w:rFonts w:eastAsia="Times New Roman"/>
                <w:color w:val="000000"/>
              </w:rPr>
              <w:t>шт</w:t>
            </w:r>
            <w:proofErr w:type="spellEnd"/>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3.2</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Сменный картридж с чернилами для принтера, не менее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xml:space="preserve">1 </w:t>
            </w:r>
            <w:proofErr w:type="spellStart"/>
            <w:r w:rsidRPr="00E8658F">
              <w:rPr>
                <w:rFonts w:eastAsia="Times New Roman"/>
                <w:color w:val="000000"/>
              </w:rPr>
              <w:t>шт</w:t>
            </w:r>
            <w:proofErr w:type="spellEnd"/>
          </w:p>
        </w:tc>
      </w:tr>
      <w:tr w:rsidR="00E8658F" w:rsidRPr="00E8658F" w:rsidTr="00E8658F">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4</w:t>
            </w:r>
          </w:p>
        </w:tc>
        <w:tc>
          <w:tcPr>
            <w:tcW w:w="9773" w:type="dxa"/>
            <w:tcBorders>
              <w:top w:val="nil"/>
              <w:left w:val="nil"/>
              <w:bottom w:val="single" w:sz="4" w:space="0" w:color="auto"/>
              <w:right w:val="single" w:sz="4" w:space="0" w:color="auto"/>
            </w:tcBorders>
            <w:shd w:val="clear" w:color="auto" w:fill="auto"/>
            <w:hideMark/>
          </w:tcPr>
          <w:p w:rsidR="00E8658F" w:rsidRPr="00E8658F" w:rsidRDefault="00E8658F" w:rsidP="00E8658F">
            <w:pPr>
              <w:autoSpaceDE/>
              <w:autoSpaceDN/>
              <w:adjustRightInd/>
              <w:rPr>
                <w:rFonts w:eastAsia="Times New Roman"/>
                <w:b/>
                <w:bCs/>
                <w:color w:val="000000"/>
              </w:rPr>
            </w:pPr>
            <w:r w:rsidRPr="00E8658F">
              <w:rPr>
                <w:rFonts w:eastAsia="Times New Roman"/>
                <w:b/>
                <w:bCs/>
                <w:color w:val="000000"/>
                <w:sz w:val="22"/>
                <w:szCs w:val="22"/>
              </w:rPr>
              <w:t>Условия поставки:</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 </w:t>
            </w:r>
          </w:p>
        </w:tc>
      </w:tr>
      <w:tr w:rsidR="00E8658F" w:rsidRPr="00E8658F" w:rsidTr="00E8658F">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4.1</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Цена поставки включает в себя установку и подключение оборудования, обучение специалистов на месте, гарантийное и сервисное обслуживание.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Наличие</w:t>
            </w:r>
          </w:p>
        </w:tc>
      </w:tr>
      <w:tr w:rsidR="00E8658F" w:rsidRPr="00E8658F" w:rsidTr="00E8658F">
        <w:trPr>
          <w:trHeight w:val="737"/>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4.2</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Срок поставки оборудования, не более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по заявке Заказчика в течение 15 календарных дней</w:t>
            </w:r>
          </w:p>
        </w:tc>
      </w:tr>
      <w:tr w:rsidR="00E8658F" w:rsidRPr="00E8658F" w:rsidTr="00E8658F">
        <w:trPr>
          <w:trHeight w:val="55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right"/>
              <w:rPr>
                <w:rFonts w:eastAsia="Times New Roman"/>
                <w:color w:val="000000"/>
              </w:rPr>
            </w:pPr>
            <w:r w:rsidRPr="00E8658F">
              <w:rPr>
                <w:rFonts w:eastAsia="Times New Roman"/>
                <w:color w:val="000000"/>
              </w:rPr>
              <w:t>4.3</w:t>
            </w:r>
          </w:p>
        </w:tc>
        <w:tc>
          <w:tcPr>
            <w:tcW w:w="9773"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rPr>
                <w:rFonts w:eastAsia="Times New Roman"/>
                <w:color w:val="000000"/>
              </w:rPr>
            </w:pPr>
            <w:r w:rsidRPr="00E8658F">
              <w:rPr>
                <w:rFonts w:eastAsia="Times New Roman"/>
                <w:color w:val="000000"/>
              </w:rPr>
              <w:t>Срок монтажа оборудования, не более</w:t>
            </w:r>
          </w:p>
        </w:tc>
        <w:tc>
          <w:tcPr>
            <w:tcW w:w="3732" w:type="dxa"/>
            <w:tcBorders>
              <w:top w:val="nil"/>
              <w:left w:val="nil"/>
              <w:bottom w:val="single" w:sz="4" w:space="0" w:color="auto"/>
              <w:right w:val="single" w:sz="4" w:space="0" w:color="auto"/>
            </w:tcBorders>
            <w:shd w:val="clear" w:color="auto" w:fill="auto"/>
            <w:vAlign w:val="center"/>
            <w:hideMark/>
          </w:tcPr>
          <w:p w:rsidR="00E8658F" w:rsidRPr="00E8658F" w:rsidRDefault="00E8658F" w:rsidP="00E8658F">
            <w:pPr>
              <w:autoSpaceDE/>
              <w:autoSpaceDN/>
              <w:adjustRightInd/>
              <w:jc w:val="center"/>
              <w:rPr>
                <w:rFonts w:eastAsia="Times New Roman"/>
                <w:color w:val="000000"/>
              </w:rPr>
            </w:pPr>
            <w:r w:rsidRPr="00E8658F">
              <w:rPr>
                <w:rFonts w:eastAsia="Times New Roman"/>
                <w:color w:val="000000"/>
              </w:rPr>
              <w:t>5 дней с момента получения заявки на монтаж</w:t>
            </w:r>
          </w:p>
        </w:tc>
      </w:tr>
    </w:tbl>
    <w:p w:rsidR="004E305F" w:rsidRPr="00824A13" w:rsidRDefault="004E305F">
      <w:pPr>
        <w:ind w:firstLine="540"/>
        <w:jc w:val="center"/>
        <w:rPr>
          <w:b/>
          <w:bCs/>
        </w:rPr>
      </w:pPr>
    </w:p>
    <w:p w:rsidR="00E8658F" w:rsidRPr="00824A13" w:rsidRDefault="00E8658F">
      <w:pPr>
        <w:ind w:firstLine="540"/>
        <w:jc w:val="center"/>
        <w:rPr>
          <w:b/>
          <w:bCs/>
        </w:rPr>
      </w:pPr>
    </w:p>
    <w:p w:rsidR="00E8658F" w:rsidRPr="00824A13" w:rsidRDefault="00E8658F">
      <w:pPr>
        <w:ind w:firstLine="540"/>
        <w:jc w:val="center"/>
        <w:rPr>
          <w:b/>
          <w:bCs/>
        </w:rPr>
      </w:pPr>
    </w:p>
    <w:p w:rsidR="00E8658F" w:rsidRPr="00824A13" w:rsidRDefault="00E8658F">
      <w:pPr>
        <w:ind w:firstLine="540"/>
        <w:jc w:val="center"/>
        <w:rPr>
          <w:b/>
          <w:bCs/>
        </w:rPr>
      </w:pPr>
    </w:p>
    <w:p w:rsidR="00D56DDE" w:rsidRPr="00AB1602" w:rsidRDefault="00D56DDE">
      <w:pPr>
        <w:ind w:firstLine="540"/>
        <w:jc w:val="center"/>
        <w:rPr>
          <w:b/>
          <w:bCs/>
        </w:rPr>
      </w:pPr>
    </w:p>
    <w:p w:rsidR="002F1B13" w:rsidRPr="00AB1602" w:rsidRDefault="00E92848" w:rsidP="002F1B13">
      <w:pPr>
        <w:jc w:val="both"/>
        <w:rPr>
          <w:b/>
          <w:bCs/>
        </w:rPr>
      </w:pPr>
      <w:proofErr w:type="spellStart"/>
      <w:r w:rsidRPr="00AB1602">
        <w:rPr>
          <w:b/>
          <w:bCs/>
        </w:rPr>
        <w:t>И.о.п</w:t>
      </w:r>
      <w:r w:rsidR="00D06B57" w:rsidRPr="00AB1602">
        <w:rPr>
          <w:b/>
          <w:bCs/>
        </w:rPr>
        <w:t>редседатель</w:t>
      </w:r>
      <w:proofErr w:type="spellEnd"/>
      <w:r w:rsidR="00D06B57" w:rsidRPr="00AB1602">
        <w:rPr>
          <w:b/>
          <w:bCs/>
        </w:rPr>
        <w:t xml:space="preserve"> Правления</w:t>
      </w:r>
      <w:r w:rsidR="002F1B13" w:rsidRPr="00AB1602">
        <w:rPr>
          <w:b/>
          <w:bCs/>
        </w:rPr>
        <w:t>_________________</w:t>
      </w:r>
      <w:r w:rsidRPr="00AB1602">
        <w:rPr>
          <w:b/>
          <w:bCs/>
        </w:rPr>
        <w:t xml:space="preserve">__  </w:t>
      </w:r>
      <w:proofErr w:type="spellStart"/>
      <w:r w:rsidR="00F15E9C" w:rsidRPr="00AB1602">
        <w:rPr>
          <w:b/>
          <w:bCs/>
        </w:rPr>
        <w:t>Боранбаева</w:t>
      </w:r>
      <w:proofErr w:type="spellEnd"/>
      <w:r w:rsidR="00F15E9C" w:rsidRPr="00AB1602">
        <w:rPr>
          <w:b/>
          <w:bCs/>
        </w:rPr>
        <w:t xml:space="preserve">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AB1602">
        <w:rPr>
          <w:spacing w:val="2"/>
          <w:sz w:val="24"/>
          <w:szCs w:val="24"/>
        </w:rPr>
        <w:t>обслуживающегося</w:t>
      </w:r>
      <w:proofErr w:type="spellEnd"/>
      <w:r w:rsidRPr="00AB1602">
        <w:rPr>
          <w:spacing w:val="2"/>
          <w:sz w:val="24"/>
          <w:szCs w:val="24"/>
        </w:rPr>
        <w:t xml:space="preserve">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201</w:t>
      </w:r>
      <w:r w:rsidR="00251843">
        <w:rPr>
          <w:spacing w:val="2"/>
          <w:sz w:val="24"/>
          <w:szCs w:val="24"/>
        </w:rPr>
        <w:t>9</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824A13">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w:t>
            </w:r>
            <w:proofErr w:type="spellStart"/>
            <w:r w:rsidRPr="00AB1602">
              <w:rPr>
                <w:sz w:val="20"/>
                <w:szCs w:val="20"/>
              </w:rPr>
              <w:t>Бостандыкский</w:t>
            </w:r>
            <w:proofErr w:type="spellEnd"/>
            <w:r w:rsidRPr="00AB1602">
              <w:rPr>
                <w:sz w:val="20"/>
                <w:szCs w:val="20"/>
              </w:rPr>
              <w:t xml:space="preserve"> район, проспект Аль-</w:t>
            </w:r>
            <w:proofErr w:type="spellStart"/>
            <w:r w:rsidRPr="00AB1602">
              <w:rPr>
                <w:sz w:val="20"/>
                <w:szCs w:val="20"/>
              </w:rPr>
              <w:t>Фараби</w:t>
            </w:r>
            <w:proofErr w:type="spellEnd"/>
            <w:r w:rsidRPr="00AB1602">
              <w:rPr>
                <w:sz w:val="20"/>
                <w:szCs w:val="20"/>
              </w:rPr>
              <w:t xml:space="preserve">,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5"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г.Алматы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251843">
            <w:pPr>
              <w:rPr>
                <w:b/>
                <w:bCs/>
                <w:sz w:val="20"/>
                <w:szCs w:val="20"/>
              </w:rPr>
            </w:pPr>
            <w:proofErr w:type="spellStart"/>
            <w:r>
              <w:rPr>
                <w:b/>
                <w:bCs/>
                <w:sz w:val="20"/>
                <w:szCs w:val="20"/>
              </w:rPr>
              <w:t>И.о</w:t>
            </w:r>
            <w:proofErr w:type="spellEnd"/>
            <w:r>
              <w:rPr>
                <w:b/>
                <w:bCs/>
                <w:sz w:val="20"/>
                <w:szCs w:val="20"/>
              </w:rPr>
              <w:t xml:space="preserve">. председателя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proofErr w:type="spellStart"/>
            <w:r w:rsidR="0021269E" w:rsidRPr="00AB1602">
              <w:rPr>
                <w:b/>
                <w:bCs/>
                <w:sz w:val="20"/>
                <w:szCs w:val="20"/>
              </w:rPr>
              <w:t>Боранбаева</w:t>
            </w:r>
            <w:proofErr w:type="spellEnd"/>
            <w:r w:rsidR="0021269E" w:rsidRPr="00AB1602">
              <w:rPr>
                <w:b/>
                <w:bCs/>
                <w:sz w:val="20"/>
                <w:szCs w:val="20"/>
              </w:rPr>
              <w:t xml:space="preserve">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9F" w:rsidRDefault="009E509F" w:rsidP="0021269E">
      <w:r>
        <w:separator/>
      </w:r>
    </w:p>
  </w:endnote>
  <w:endnote w:type="continuationSeparator" w:id="0">
    <w:p w:rsidR="009E509F" w:rsidRDefault="009E509F"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9F" w:rsidRDefault="009E509F">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9E509F" w:rsidRDefault="009E509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9F" w:rsidRDefault="009E509F">
    <w:pPr>
      <w:pStyle w:val="a9"/>
      <w:jc w:val="right"/>
    </w:pPr>
    <w:r>
      <w:fldChar w:fldCharType="begin"/>
    </w:r>
    <w:r>
      <w:instrText xml:space="preserve">PAGE  \* MERGEFORMAT </w:instrText>
    </w:r>
    <w:r>
      <w:fldChar w:fldCharType="separate"/>
    </w:r>
    <w:r w:rsidR="0010033B">
      <w:rPr>
        <w:noProof/>
      </w:rPr>
      <w:t>7</w:t>
    </w:r>
    <w:r>
      <w:rPr>
        <w:noProof/>
      </w:rPr>
      <w:fldChar w:fldCharType="end"/>
    </w:r>
  </w:p>
  <w:p w:rsidR="009E509F" w:rsidRDefault="009E509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9F" w:rsidRDefault="009E50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9F" w:rsidRDefault="009E509F" w:rsidP="0021269E">
      <w:r>
        <w:separator/>
      </w:r>
    </w:p>
  </w:footnote>
  <w:footnote w:type="continuationSeparator" w:id="0">
    <w:p w:rsidR="009E509F" w:rsidRDefault="009E509F"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9F" w:rsidRDefault="009E509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9F" w:rsidRDefault="009E509F">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10033B">
      <w:rPr>
        <w:noProof/>
        <w:sz w:val="20"/>
        <w:szCs w:val="20"/>
      </w:rPr>
      <w:t>7</w:t>
    </w:r>
    <w:r>
      <w:rPr>
        <w:sz w:val="20"/>
        <w:szCs w:val="20"/>
      </w:rPr>
      <w:fldChar w:fldCharType="end"/>
    </w:r>
  </w:p>
  <w:p w:rsidR="009E509F" w:rsidRDefault="009E509F">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9F" w:rsidRDefault="009E509F">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9E509F" w:rsidRDefault="009E509F">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2F3B"/>
    <w:rsid w:val="00005483"/>
    <w:rsid w:val="00006ADC"/>
    <w:rsid w:val="00012668"/>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67D3"/>
    <w:rsid w:val="000F011E"/>
    <w:rsid w:val="000F463B"/>
    <w:rsid w:val="0010033B"/>
    <w:rsid w:val="001019BD"/>
    <w:rsid w:val="0011254D"/>
    <w:rsid w:val="00122821"/>
    <w:rsid w:val="00135062"/>
    <w:rsid w:val="001478D7"/>
    <w:rsid w:val="00150673"/>
    <w:rsid w:val="0018234D"/>
    <w:rsid w:val="001B04A1"/>
    <w:rsid w:val="001C78DC"/>
    <w:rsid w:val="001D1EDB"/>
    <w:rsid w:val="001E78EA"/>
    <w:rsid w:val="001E7DC6"/>
    <w:rsid w:val="002000B4"/>
    <w:rsid w:val="00200396"/>
    <w:rsid w:val="00212192"/>
    <w:rsid w:val="0021269E"/>
    <w:rsid w:val="002137E8"/>
    <w:rsid w:val="0021496E"/>
    <w:rsid w:val="002172AB"/>
    <w:rsid w:val="00235764"/>
    <w:rsid w:val="00243C36"/>
    <w:rsid w:val="00251843"/>
    <w:rsid w:val="0026065B"/>
    <w:rsid w:val="00270C07"/>
    <w:rsid w:val="00271DD9"/>
    <w:rsid w:val="00275811"/>
    <w:rsid w:val="00281F10"/>
    <w:rsid w:val="00292317"/>
    <w:rsid w:val="002A04AF"/>
    <w:rsid w:val="002A0E88"/>
    <w:rsid w:val="002C45F1"/>
    <w:rsid w:val="002D5E55"/>
    <w:rsid w:val="002F1221"/>
    <w:rsid w:val="002F1B13"/>
    <w:rsid w:val="00310CD9"/>
    <w:rsid w:val="0036049A"/>
    <w:rsid w:val="003876D6"/>
    <w:rsid w:val="00392983"/>
    <w:rsid w:val="00396207"/>
    <w:rsid w:val="003B5D4D"/>
    <w:rsid w:val="003D3E7D"/>
    <w:rsid w:val="003F0AC3"/>
    <w:rsid w:val="003F5914"/>
    <w:rsid w:val="00414F88"/>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F2DE7"/>
    <w:rsid w:val="00513FCE"/>
    <w:rsid w:val="0052229F"/>
    <w:rsid w:val="00530B4B"/>
    <w:rsid w:val="00534C2E"/>
    <w:rsid w:val="00547151"/>
    <w:rsid w:val="00547B18"/>
    <w:rsid w:val="00552337"/>
    <w:rsid w:val="005905C9"/>
    <w:rsid w:val="005A786E"/>
    <w:rsid w:val="005C31AE"/>
    <w:rsid w:val="00606993"/>
    <w:rsid w:val="006310D5"/>
    <w:rsid w:val="00634C85"/>
    <w:rsid w:val="006351F4"/>
    <w:rsid w:val="00645605"/>
    <w:rsid w:val="00657E8C"/>
    <w:rsid w:val="006603C6"/>
    <w:rsid w:val="00694C52"/>
    <w:rsid w:val="006A24B2"/>
    <w:rsid w:val="006C688C"/>
    <w:rsid w:val="006C68AE"/>
    <w:rsid w:val="006D2210"/>
    <w:rsid w:val="006E28EA"/>
    <w:rsid w:val="00765B7C"/>
    <w:rsid w:val="0076655C"/>
    <w:rsid w:val="007933B6"/>
    <w:rsid w:val="007A7DBF"/>
    <w:rsid w:val="007B00E5"/>
    <w:rsid w:val="007B3FF0"/>
    <w:rsid w:val="007B799A"/>
    <w:rsid w:val="007D5672"/>
    <w:rsid w:val="007E3E90"/>
    <w:rsid w:val="007F4585"/>
    <w:rsid w:val="00800002"/>
    <w:rsid w:val="00802FD8"/>
    <w:rsid w:val="0080529D"/>
    <w:rsid w:val="00811A29"/>
    <w:rsid w:val="00812390"/>
    <w:rsid w:val="00824599"/>
    <w:rsid w:val="00824A13"/>
    <w:rsid w:val="008251AE"/>
    <w:rsid w:val="00825C8B"/>
    <w:rsid w:val="00826373"/>
    <w:rsid w:val="00842FAA"/>
    <w:rsid w:val="00855083"/>
    <w:rsid w:val="00887E11"/>
    <w:rsid w:val="008A0698"/>
    <w:rsid w:val="008A27AC"/>
    <w:rsid w:val="008A42D2"/>
    <w:rsid w:val="008B3348"/>
    <w:rsid w:val="008D24D5"/>
    <w:rsid w:val="008D6487"/>
    <w:rsid w:val="00914356"/>
    <w:rsid w:val="00934F76"/>
    <w:rsid w:val="00940BE2"/>
    <w:rsid w:val="0096372E"/>
    <w:rsid w:val="0097145A"/>
    <w:rsid w:val="009728DE"/>
    <w:rsid w:val="00973782"/>
    <w:rsid w:val="00974B6B"/>
    <w:rsid w:val="00977B7D"/>
    <w:rsid w:val="0098475A"/>
    <w:rsid w:val="009969DD"/>
    <w:rsid w:val="009B2B10"/>
    <w:rsid w:val="009B689E"/>
    <w:rsid w:val="009C2E64"/>
    <w:rsid w:val="009C69C3"/>
    <w:rsid w:val="009E509F"/>
    <w:rsid w:val="00A04F3B"/>
    <w:rsid w:val="00A12E25"/>
    <w:rsid w:val="00A44161"/>
    <w:rsid w:val="00A44DDB"/>
    <w:rsid w:val="00A75344"/>
    <w:rsid w:val="00A842D3"/>
    <w:rsid w:val="00A8710E"/>
    <w:rsid w:val="00A94652"/>
    <w:rsid w:val="00AB1602"/>
    <w:rsid w:val="00AC0164"/>
    <w:rsid w:val="00AC3E60"/>
    <w:rsid w:val="00AC618C"/>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31856"/>
    <w:rsid w:val="00C5620C"/>
    <w:rsid w:val="00C74AC0"/>
    <w:rsid w:val="00C768CC"/>
    <w:rsid w:val="00C77A8B"/>
    <w:rsid w:val="00C8144C"/>
    <w:rsid w:val="00C82C2F"/>
    <w:rsid w:val="00CB4076"/>
    <w:rsid w:val="00CD07DA"/>
    <w:rsid w:val="00CD78E6"/>
    <w:rsid w:val="00CE5E16"/>
    <w:rsid w:val="00D05ECC"/>
    <w:rsid w:val="00D06B57"/>
    <w:rsid w:val="00D4174C"/>
    <w:rsid w:val="00D46290"/>
    <w:rsid w:val="00D53471"/>
    <w:rsid w:val="00D56DDE"/>
    <w:rsid w:val="00D740E5"/>
    <w:rsid w:val="00DA220F"/>
    <w:rsid w:val="00DC4410"/>
    <w:rsid w:val="00DC7FB3"/>
    <w:rsid w:val="00DD1CC0"/>
    <w:rsid w:val="00DD5F5C"/>
    <w:rsid w:val="00DF0747"/>
    <w:rsid w:val="00DF30DE"/>
    <w:rsid w:val="00E4684A"/>
    <w:rsid w:val="00E516B2"/>
    <w:rsid w:val="00E60ABB"/>
    <w:rsid w:val="00E66A33"/>
    <w:rsid w:val="00E8658F"/>
    <w:rsid w:val="00E92848"/>
    <w:rsid w:val="00E959CE"/>
    <w:rsid w:val="00EA4F1D"/>
    <w:rsid w:val="00EB14CE"/>
    <w:rsid w:val="00EB1F2D"/>
    <w:rsid w:val="00EC3C1F"/>
    <w:rsid w:val="00F0088D"/>
    <w:rsid w:val="00F03B7E"/>
    <w:rsid w:val="00F1215B"/>
    <w:rsid w:val="00F15E9C"/>
    <w:rsid w:val="00F173EB"/>
    <w:rsid w:val="00F540FD"/>
    <w:rsid w:val="00F56C7E"/>
    <w:rsid w:val="00F81977"/>
    <w:rsid w:val="00F83B15"/>
    <w:rsid w:val="00F87513"/>
    <w:rsid w:val="00FA4E0B"/>
    <w:rsid w:val="00FB1F46"/>
    <w:rsid w:val="00FC2766"/>
    <w:rsid w:val="00FC46A4"/>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543253901">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ediatr.kz@mail.ru"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A520-0790-4670-8F5B-2ED3E616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26</Pages>
  <Words>10802</Words>
  <Characters>61577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23</cp:revision>
  <cp:lastPrinted>2019-07-03T11:10:00Z</cp:lastPrinted>
  <dcterms:created xsi:type="dcterms:W3CDTF">2019-06-26T16:20:00Z</dcterms:created>
  <dcterms:modified xsi:type="dcterms:W3CDTF">2019-10-10T10:11:00Z</dcterms:modified>
</cp:coreProperties>
</file>