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923CC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3CC6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923CC6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923CC6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923CC6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923CC6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923CC6">
        <w:rPr>
          <w:rFonts w:ascii="Times New Roman" w:hAnsi="Times New Roman"/>
          <w:b/>
          <w:sz w:val="20"/>
          <w:szCs w:val="20"/>
        </w:rPr>
        <w:t>№</w:t>
      </w:r>
      <w:r w:rsidR="00C66F4A" w:rsidRPr="00923CC6">
        <w:rPr>
          <w:rFonts w:ascii="Times New Roman" w:hAnsi="Times New Roman"/>
          <w:b/>
          <w:sz w:val="20"/>
          <w:szCs w:val="20"/>
          <w:lang w:val="kk-KZ"/>
        </w:rPr>
        <w:t>15</w:t>
      </w:r>
      <w:r w:rsidR="003471A0" w:rsidRPr="00923CC6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923CC6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923CC6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sz w:val="20"/>
                <w:szCs w:val="20"/>
              </w:rPr>
              <w:t>г.</w:t>
            </w:r>
            <w:r w:rsidR="00AD448D" w:rsidRPr="00923C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23CC6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923CC6">
              <w:rPr>
                <w:rFonts w:ascii="Times New Roman" w:hAnsi="Times New Roman"/>
                <w:sz w:val="20"/>
                <w:szCs w:val="20"/>
              </w:rPr>
              <w:t>, пр.</w:t>
            </w:r>
            <w:r w:rsidR="00AD448D" w:rsidRPr="00923C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23CC6">
              <w:rPr>
                <w:rFonts w:ascii="Times New Roman" w:hAnsi="Times New Roman"/>
                <w:sz w:val="20"/>
                <w:szCs w:val="20"/>
              </w:rPr>
              <w:t>Аль-Фараби</w:t>
            </w:r>
            <w:proofErr w:type="spellEnd"/>
            <w:r w:rsidRPr="00923CC6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923CC6" w:rsidRDefault="00C66F4A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11</w:t>
            </w:r>
            <w:r w:rsidR="00DF2850" w:rsidRPr="00923C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923C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4F6D45" w:rsidRPr="00923CC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9F49F6" w:rsidRPr="00923CC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796578" w:rsidRPr="00923C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923CC6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C66F4A" w:rsidRPr="00923CC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12 </w:t>
            </w:r>
            <w:r w:rsidR="00676459" w:rsidRPr="00923CC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феврал</w:t>
            </w:r>
            <w:r w:rsidR="006E0C9F" w:rsidRPr="00923CC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я </w:t>
            </w:r>
            <w:r w:rsidRPr="00923CC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923CC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F49F6" w:rsidRPr="00923CC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923C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923CC6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923CC6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23CC6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923CC6">
        <w:rPr>
          <w:rFonts w:ascii="Times New Roman" w:hAnsi="Times New Roman"/>
          <w:sz w:val="20"/>
          <w:szCs w:val="20"/>
        </w:rPr>
        <w:t xml:space="preserve"> </w:t>
      </w:r>
      <w:r w:rsidR="00C72935" w:rsidRPr="00923CC6">
        <w:rPr>
          <w:rFonts w:ascii="Times New Roman" w:hAnsi="Times New Roman"/>
          <w:sz w:val="20"/>
          <w:szCs w:val="20"/>
        </w:rPr>
        <w:t>АО</w:t>
      </w:r>
      <w:r w:rsidR="00183022" w:rsidRPr="00923CC6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923CC6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923CC6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23CC6">
        <w:rPr>
          <w:rFonts w:ascii="Times New Roman" w:hAnsi="Times New Roman"/>
          <w:sz w:val="20"/>
          <w:szCs w:val="20"/>
        </w:rPr>
        <w:t>На основании</w:t>
      </w:r>
      <w:r w:rsidR="00183022" w:rsidRPr="00923CC6">
        <w:rPr>
          <w:rFonts w:ascii="Times New Roman" w:hAnsi="Times New Roman"/>
          <w:sz w:val="20"/>
          <w:szCs w:val="20"/>
        </w:rPr>
        <w:t xml:space="preserve"> </w:t>
      </w:r>
      <w:r w:rsidR="00BF7B87" w:rsidRPr="00923CC6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923CC6">
        <w:rPr>
          <w:rFonts w:ascii="Times New Roman" w:hAnsi="Times New Roman"/>
          <w:sz w:val="20"/>
          <w:szCs w:val="20"/>
        </w:rPr>
        <w:t>,</w:t>
      </w:r>
      <w:r w:rsidR="00183022" w:rsidRPr="00923CC6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923CC6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923CC6">
        <w:rPr>
          <w:rFonts w:ascii="Times New Roman" w:hAnsi="Times New Roman"/>
          <w:sz w:val="20"/>
          <w:szCs w:val="20"/>
        </w:rPr>
        <w:t>АО</w:t>
      </w:r>
      <w:r w:rsidRPr="00923CC6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923CC6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923CC6">
        <w:rPr>
          <w:rFonts w:ascii="Times New Roman" w:hAnsi="Times New Roman"/>
          <w:sz w:val="20"/>
          <w:szCs w:val="20"/>
        </w:rPr>
        <w:t xml:space="preserve">. </w:t>
      </w:r>
    </w:p>
    <w:p w:rsidR="00083F37" w:rsidRPr="00923CC6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923CC6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23CC6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F321EF" w:rsidRPr="00923CC6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361" w:type="dxa"/>
        <w:tblInd w:w="95" w:type="dxa"/>
        <w:tblLayout w:type="fixed"/>
        <w:tblLook w:val="04A0"/>
      </w:tblPr>
      <w:tblGrid>
        <w:gridCol w:w="430"/>
        <w:gridCol w:w="1558"/>
        <w:gridCol w:w="4546"/>
        <w:gridCol w:w="709"/>
        <w:gridCol w:w="708"/>
        <w:gridCol w:w="1134"/>
        <w:gridCol w:w="1276"/>
      </w:tblGrid>
      <w:tr w:rsidR="005B501F" w:rsidRPr="00923CC6" w:rsidTr="00923CC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1F" w:rsidRPr="00923CC6" w:rsidRDefault="005B501F" w:rsidP="00923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1F" w:rsidRPr="00923CC6" w:rsidRDefault="005B501F" w:rsidP="00923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1F" w:rsidRPr="00923CC6" w:rsidRDefault="005B501F" w:rsidP="00923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Характеристика, лекарственная форма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1F" w:rsidRPr="00923CC6" w:rsidRDefault="00923CC6" w:rsidP="00923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Ед. </w:t>
            </w:r>
            <w:proofErr w:type="spellStart"/>
            <w:r w:rsidRPr="00923C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1F" w:rsidRPr="00923CC6" w:rsidRDefault="00715290" w:rsidP="00923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23C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Коли-</w:t>
            </w:r>
            <w:r w:rsidR="005B501F" w:rsidRPr="00923C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1F" w:rsidRPr="00923CC6" w:rsidRDefault="005B501F" w:rsidP="00923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1F" w:rsidRPr="00923CC6" w:rsidRDefault="005B501F" w:rsidP="00923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C66F4A" w:rsidRPr="00923CC6" w:rsidTr="00923CC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Системы полимерные пустые с магистралями одинарные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Криоконтейнер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для замораживания и хранения компонентов крови. Материал: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Этиленвинилацетат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. Номинальный объем: 215 мл. Рекомендованный объем заполнения: 30-70 мл. Температура хранения: от - 196°C до +40°C. Количество портов: 4шт  (1 –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коннектор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типа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луер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(папа), 2 –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коннектор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типа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луер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(мама), 1 – пластиковая игла). Количество входных портов на контейнере для пластиковой иглы – 2 шт. Количество зажимов – 3 шт. Размеры контейнера: 130 мм +/- 2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x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179 мм +/- 3. Толщина стенки контейнера: 0,35 мм.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14190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141 900,00</w:t>
            </w:r>
          </w:p>
        </w:tc>
      </w:tr>
      <w:tr w:rsidR="00C66F4A" w:rsidRPr="00923CC6" w:rsidTr="00923CC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Системы полимерные пустые с магистралями одинарные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Криоконтейнер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для замораживания и хранения компонентов крови. Материал: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Этиленвинилацетат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. Номинальный объем: 570 мл. Рекомендованный объем заполнения: 80-150 мл. Температура хранения: от - 196°C до +40°C. Количество портов: 4шт  (1 –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коннектор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типа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луер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(папа), 2 –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коннектор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типа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луер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(мама), 1 – пластиковая игла). Количество входных портов на контейнере для пластиковой иглы – 2 шт. Количество зажимов – 3 шт. Размеры контейнера: 130 мм +/- 2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x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256 мм +/- 3. Толщина стенки контейнера: 0,35 мм.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14190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113 520,00</w:t>
            </w:r>
          </w:p>
        </w:tc>
      </w:tr>
      <w:tr w:rsidR="00C66F4A" w:rsidRPr="00923CC6" w:rsidTr="00923CC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Система полимерная с магистралями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система для заготовки крови, 450 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14185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141 850,00</w:t>
            </w:r>
          </w:p>
        </w:tc>
      </w:tr>
      <w:tr w:rsidR="00C66F4A" w:rsidRPr="00923CC6" w:rsidTr="00923CC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Мешок для переноса клеток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Мешок для переноса клеток, 600 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74844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74 844,00</w:t>
            </w:r>
          </w:p>
        </w:tc>
      </w:tr>
      <w:tr w:rsidR="00C66F4A" w:rsidRPr="00923CC6" w:rsidTr="00923CC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Микрокатетер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для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нейроинтервенционных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процедур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gram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• Усиленный катетер, состоящий из 7 сегментов</w:t>
            </w: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•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Атравматично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отполированная дистальная часть катетера</w:t>
            </w: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• 2 платиновых маркера, позволяющих производить отсоединение спиралей в нужной части</w:t>
            </w: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• Внешний диаметр 2,4F, внутренний 1,7F, внутренний диаметр 0,017”; диаметр 2,5/2,0F - внутренний диаметр 0,021”; диаметр 3,1/2,6 F - внутренний диаметр 0,027”;</w:t>
            </w: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• Общая длина 150 см</w:t>
            </w: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• Доступен в двух видах: «обычный» и «экстра поддержка»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2 500 000,00</w:t>
            </w:r>
          </w:p>
        </w:tc>
      </w:tr>
      <w:tr w:rsidR="00C66F4A" w:rsidRPr="00923CC6" w:rsidTr="00923CC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Микропроводник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для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нейроинтервенционных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процедур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• Гибридная технология</w:t>
            </w: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• Диаметр 0,012” у дистальной и 0,014” у проксимальной части</w:t>
            </w: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• Внутренняя часть из стали, в дистальной части из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нитинола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•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Микрокатетер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общей длиной 200 см,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нитиноловой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частью 60 см, формируемая часть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микропроводника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длиной 1,4 см, протяженность гидрофильного покрытия – 40 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1 400 000,00</w:t>
            </w:r>
          </w:p>
        </w:tc>
      </w:tr>
      <w:tr w:rsidR="00C66F4A" w:rsidRPr="00923CC6" w:rsidTr="00923CC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Индефилятор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аналоговый в комплекте с иглой,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торк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девайсом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гемостатическим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клапаном (типа клик)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Шприц-манометр  для создания и мониторинга давления в пределах от -0,4 до 35 </w:t>
            </w:r>
            <w:proofErr w:type="gram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АТМ</w:t>
            </w:r>
            <w:proofErr w:type="gram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/бар (-14,7 до +441 PSI) с точностью ± 1 АТМ/бар для инфляции и дефляции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ангиопластического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баллона или других интервенционных устройств, а также для измерения давления внутри баллона. Материал корпуса прозрачный поликарбонат; объем  30мл, оборудовано безвоздушным ротатором, обеспечивающим безвоздушное соединение с баллонным катетером. Наличие гибкой трубки (удлинительной линией) высокого давления с двойным плетением длиной 20 и 50 см  и 3-ходового краника. Устройство оборудовано поршнем  с резьбовым соединением с запирающим/высвобождающим механизмом, который активируется в одно касание. Механизм  позволяет удалить воздух и чрезмерную жидкость без сжимания спускового устройства (триггера).     Внешняя поверхность рукоятки мягкая для исключения соскальзывания рук оператора и удобства манипулирования, материал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АБС-сополимер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 синего цвета. Внутренняя сторона рукоятки с выемками для пальцев для удобства захвата и манипулирования зеленого цвета</w:t>
            </w:r>
            <w:proofErr w:type="gram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Воможность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достижения максимального давления за 3 полных оборота рукоятки. Устройство аналоговое. Поршень, расположенный в корпусе, имеет тройное кольцо (для исключения протекания колбы), на конце поршень заострен для образования «безопасного пространства», с целью минимизации попадания воздуха. Дисплей с флюоресцирующим фоном расположен под углом 30° по отношению к корпусу прибора для лучшей визуализации оператором.            Различные варианты комплектации: 1) краник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трехходовый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, с прозрачным корпусом, крутящийся,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гемостатический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клапан 7F или 9F (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Y-коннектор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) различной конфигурации - с кнопкой, с поворотным или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кнопочно-поворотным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механизмом-двойной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гемостатический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клапан ,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торкдевайс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(для управления коронарным проводником), «тупая» игла для бережного проведения коронарного проводника через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гемостатический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клапан</w:t>
            </w:r>
            <w:proofErr w:type="gram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.В</w:t>
            </w:r>
            <w:proofErr w:type="gram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озможность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выбора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индефлятора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 цифровым электронным дисплеем 30АТМ объемом 20мл. Выбор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аналогова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индефлятора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30</w:t>
            </w:r>
            <w:proofErr w:type="gram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тм. в наборе со шприцом ангиографическим 10мл. и Трубкой  удлинителем длиной 33,02 см.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23 600,00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708 000,00</w:t>
            </w:r>
          </w:p>
        </w:tc>
      </w:tr>
      <w:tr w:rsidR="00C66F4A" w:rsidRPr="00923CC6" w:rsidTr="00923CC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Линия высокого давления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плетеная линия высокого давления длина 150см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187 500,00</w:t>
            </w:r>
          </w:p>
        </w:tc>
      </w:tr>
      <w:tr w:rsidR="00C66F4A" w:rsidRPr="00923CC6" w:rsidTr="00923CC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Катетер ангиографический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Катетер ангиографический: размерами (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Fr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/мм)- 4/1.40; 5/1.70; длиной (см)- 40; 65; 70; 80; 100; 110; 120, 150</w:t>
            </w: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Тонкая гибкая </w:t>
            </w:r>
            <w:proofErr w:type="gram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трубка</w:t>
            </w:r>
            <w:proofErr w:type="gram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предназначенная для впрыскивания контрастного вещества в некоторые кровеносные сосуды головной, висцеральной или периферической сосудистой системы во время проведения процедуры ангиографии в целях облегчения четкой визуализации сосудистой системы целевого органа или области тела.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Супермягкий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гидрофильный катетер вводится подкожно и оснащен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рентгенококнтрастными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полосами, размещенными вдоль ее дальнего рабочего конца, чтобы определить её положение в теле и провести анатомические измерения. Он также может быть использован для измерения давления и одновременного определения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трансвальвулярного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, внутрисосудистого и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внутрижелудочкового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давления. Это одноразовое устройство.</w:t>
            </w: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Катетер предназначен для использования в ангиографических процедурах. Катетер подает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рентгеноконтрастные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вещества и терапевтические агенты в отдельные участки в сосудистой системе. Он также используется для доставки направляющего проводника или катетера к месту целевого назначения.</w:t>
            </w: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Внешний диаметр: 4Fr (1.40 мм), 5Fr (1.70 мм), 4Fr (1.40 мм).</w:t>
            </w: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Внутренний диаметр: 0.041 (1.03 мм),</w:t>
            </w:r>
            <w:proofErr w:type="gram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:</w:t>
            </w:r>
            <w:proofErr w:type="gram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0.043 (1.1 мм).</w:t>
            </w: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Максимальное давление впрыска: 5171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kPa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(750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psi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), 6895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kPa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(1000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psi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), 5171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kPa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(750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psi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700 000,00</w:t>
            </w:r>
          </w:p>
        </w:tc>
      </w:tr>
      <w:tr w:rsidR="00C66F4A" w:rsidRPr="00923CC6" w:rsidTr="00923CC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Периферический проводниковый катетер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Периферический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Гайд-Интродьюсер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разработан для выполнения функций проводникового катетера и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интродьюсера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, разработан для введения интервенционных и диагностических устройств в сосудистую систему человека, включая, </w:t>
            </w:r>
            <w:proofErr w:type="gram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но</w:t>
            </w:r>
            <w:proofErr w:type="gram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не ограничиваясь нижними конечностями, почечными артериями и сонными артериями.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Гемостатический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клапан для всех размеров. Клапан только на 90 см. Доступные размеры: 5Fr, 6Fr,  7Fr, 8Fr. Длина катетера: 45 см., 65 см., 90 см. Наружный диаметр: 0.098” (2.49 мм.), 0.109” (2.77 мм.), 0.111” (2.82 мм.), 0.122” (3.10 мм.), 0.136” (3.45 мм). Внутренний диаметр: 0.076” (1.92 мм.), 0.087” (2.21 мм.), 0.101" (2.57 мм.), 0.115" (2.92 мм). Наружный слой: нейлон. Внутренний слой (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тефлон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) обеспечивает плавное прохождение устройств внутри катетера. Катетер усилен стальной оплеткой по всей длине, наличие золотого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рентгенконтрасного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маркера перед кончиком, наружное покрытие Нейлон, обязательное наличие  гидрофильного покрытия. Кончик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атравматичный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 Нержавеющая сталь катетера. Гидрофильное покрытие дистальной части катетера улучшает проходимость.</w:t>
            </w: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Шафт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катетера </w:t>
            </w:r>
            <w:proofErr w:type="gram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усилен</w:t>
            </w:r>
            <w:proofErr w:type="gram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оплеткой по всей длине, что обеспечивает хорошую сопротивляемость перегибам. Безопасный гемостаз обеспечивается уникальным клапаном компании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Терумо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(CCV клапан). Мягкий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атравматический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кончик.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1 250 000,00</w:t>
            </w:r>
          </w:p>
        </w:tc>
      </w:tr>
      <w:tr w:rsidR="00C66F4A" w:rsidRPr="00923CC6" w:rsidTr="00923CC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Эмболизационные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частицы во флаконе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Эмболизационные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частицы предназначены для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эмболизации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гиперваскулязированных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периферических опухолей, включая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лейомиому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матки и периферические артериовенозные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мальформации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. Материал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эмболизата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-в</w:t>
            </w:r>
            <w:proofErr w:type="gram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спененный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поливинилалкоголь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.  Упакованы в стеклянные флаконы по 15 мл с завинчивающейся крышечкой. В каждом флаконе 100 мг в сухом виде. Флаконы длинной 730мм для удобства открытия одной рукой. Различные размеры частиц для точной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эмболизации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целевых сосудов с цветовой кодировкой: 45-150 мк</w:t>
            </w:r>
            <w:proofErr w:type="gram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м(</w:t>
            </w:r>
            <w:proofErr w:type="gram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жёлтый), 150-250 мкм (фиолетовый), 250-355 мкм (синий), 355-500 мкм(зелёный), 500-710мкм(оранжевый), 710-1000мкм (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голубой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), 1000-1180 мкм(красный).  Каждый флакон упакован в индивидуальную стерильную упаковку. Совместимость с катетерами 0,046" (1168 мкм), 0,040" (1016 мкм) и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микрокатетерами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0,028" (711 мкм), 0,027" (686 мкм), 0,024" (610 мкм), 0,020" (508 мкм).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Флак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500 000,00</w:t>
            </w:r>
          </w:p>
        </w:tc>
      </w:tr>
      <w:tr w:rsidR="00C66F4A" w:rsidRPr="00923CC6" w:rsidTr="00923CC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Набор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периферически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вводимого                    ЦВК (2Fr / 24 G) </w:t>
            </w: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Набор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периферически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вводимого венозного катетера  для недоношенных, новорожденных и детей.  </w:t>
            </w: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Материал Полиуретан.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Рентгеноконтрастный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 Для длительного венозного доступа (парентеральное питание, ведение препаратов).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Набор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периферически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вводимого ЦВК (2Fr / 24 G) </w:t>
            </w: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Набор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периферически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вводимого венозного катетера  для недоношенных, новорожденных и детей.  </w:t>
            </w: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Материал Полиуретан.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Рентгеноконтрастный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. Для длительного венозного доступа (парентеральное питание, ведение препаратов).  </w:t>
            </w: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</w:r>
            <w:proofErr w:type="gram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Характеристики катетера: </w:t>
            </w: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 •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рентгеноконтрастный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• маркировка каждый сантиметр </w:t>
            </w: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• дистальный кончик черного цвета, для однозначного определения полного извлечения катетера </w:t>
            </w: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• крылышки для фиксации  </w:t>
            </w: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• встроенная удлинительная трубка  </w:t>
            </w: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• длина встроенной удлинительной трубки —  10 см </w:t>
            </w: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• внутренний диаметр катетера  0,30 мм</w:t>
            </w: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• внешний диаметр катетера  0, 60 мм</w:t>
            </w: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 • длина катетера  30 см </w:t>
            </w: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• объем заполнения катетера  0,12 мл</w:t>
            </w: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 • скорость потока через катетер (при давлении 1 бар)  5,0 мл/мин </w:t>
            </w: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Характеристики</w:t>
            </w:r>
            <w:proofErr w:type="gram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интродьюсера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: </w:t>
            </w: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• тип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интродьюсера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— расщепляемая игла, удаляемая после ввода катетера </w:t>
            </w: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• внешний диаметр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интродьюсера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— 0,95 мм/20G </w:t>
            </w: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• длина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интродьюсера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25 мм </w:t>
            </w: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Комплект поставки </w:t>
            </w: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• 1 полиуретановый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рентгеноконтрастный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катетер </w:t>
            </w: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•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интродьюсер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— расщепляемая игла 20G </w:t>
            </w: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• 1 шприц 10 мл </w:t>
            </w: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• измерительная лента </w:t>
            </w: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47 800,00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4 780 000,00</w:t>
            </w:r>
          </w:p>
        </w:tc>
      </w:tr>
      <w:tr w:rsidR="00C66F4A" w:rsidRPr="00923CC6" w:rsidTr="00923CC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Спирометрические сенсоры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Многократно используемый сенсор с мундштуком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313 500,00</w:t>
            </w:r>
          </w:p>
        </w:tc>
      </w:tr>
      <w:tr w:rsidR="00C66F4A" w:rsidRPr="00923CC6" w:rsidTr="00923CC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Стент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набор для внутреннего дренажа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мочевы</w:t>
            </w:r>
            <w:proofErr w:type="gram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x</w:t>
            </w:r>
            <w:proofErr w:type="spellEnd"/>
            <w:proofErr w:type="gram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путей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gram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Набор для внутреннего дренажа верхних мочевых путей для оттока мочи из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чашенно-лоханной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системы №,3F, 4F 4.8F,5F, в комплекте: 1) Полиуретановый катетер типа двойного (диаметр петли вводимой в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чашенно-лоханную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систему 2см или 4 см, расстояние между петлями от 14см до 30см) 2) зажимы разносторонние/поворотные тип ZSWM3F144 – ZSWM10F302 3) толкатель 4) проводник 022/110 из нержавеющей стали диаметром 0,038</w:t>
            </w:r>
            <w:proofErr w:type="gram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 длиной 90/110 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990 000,00</w:t>
            </w:r>
          </w:p>
        </w:tc>
      </w:tr>
      <w:tr w:rsidR="00C66F4A" w:rsidRPr="00923CC6" w:rsidTr="00923CC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Термографическая пленка для рентгенографии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Медицинская термографическая пленка для общей рентгенографии  35х43 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1 900 000,00</w:t>
            </w:r>
          </w:p>
        </w:tc>
      </w:tr>
      <w:tr w:rsidR="00C66F4A" w:rsidRPr="00923CC6" w:rsidTr="00923CC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Торакальный  дренаж№12 F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прямой силикон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1 400 000,00</w:t>
            </w:r>
          </w:p>
        </w:tc>
      </w:tr>
      <w:tr w:rsidR="00C66F4A" w:rsidRPr="00923CC6" w:rsidTr="00923CC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торакальный дренаж №15F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прямой силикон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590 000,00</w:t>
            </w:r>
          </w:p>
        </w:tc>
      </w:tr>
      <w:tr w:rsidR="00C66F4A" w:rsidRPr="00923CC6" w:rsidTr="00923CC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торакальный дренаж №18F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прямой силикон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189 000,00</w:t>
            </w:r>
          </w:p>
        </w:tc>
      </w:tr>
      <w:tr w:rsidR="00C66F4A" w:rsidRPr="00923CC6" w:rsidTr="00923CC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Ксеноперикардиальная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заплата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Ксеноперикардиальная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заплата 10х6 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3 700 000,00</w:t>
            </w:r>
          </w:p>
        </w:tc>
      </w:tr>
      <w:tr w:rsidR="00C66F4A" w:rsidRPr="00923CC6" w:rsidTr="00923CC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Пленки политетрафторэтиленовые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(Заплата толщина 0,1 мм размер 15*20 см.) ПП01-15х20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300 360,00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3 003 600,00</w:t>
            </w:r>
          </w:p>
        </w:tc>
      </w:tr>
      <w:tr w:rsidR="00C66F4A" w:rsidRPr="00923CC6" w:rsidTr="00923CC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Пленки политетрафторэтиленовые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(Заплата толщина 0,1 мм размер 8*16 см.) ПП01-8х16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146 890,00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293 780,00</w:t>
            </w:r>
          </w:p>
        </w:tc>
      </w:tr>
      <w:tr w:rsidR="00C66F4A" w:rsidRPr="00923CC6" w:rsidTr="00923CC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Пленки политетрафторэтиленовые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(Заплата толщина 0,4 мм размер 3*6 см.) ПС04-3х6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910 000,00</w:t>
            </w:r>
          </w:p>
        </w:tc>
      </w:tr>
      <w:tr w:rsidR="00C66F4A" w:rsidRPr="00923CC6" w:rsidTr="00923CC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Клапанный кондуит легочной артерии с поддержкой №12, 14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Клапанный кондуит легочной артерии представляет собой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югулярную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вену  быка с трехстворчатым венозным клапаном и естественными синусами. Конечный процесс стерилизации происходит с помощью использования 1%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глютаральдегида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и 20% 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изоприлового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спирта, при котором кондуит находится перед использованием. Устройство должно подвергнуться полосканию в изотоническом солевом растворе перед имплантацией для уменьшения концентрации </w:t>
            </w:r>
            <w:proofErr w:type="spell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глютаральдегида</w:t>
            </w:r>
            <w:proofErr w:type="spellEnd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 Процесс стерилизации производится во время карантинного интервала.</w:t>
            </w: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Клапанный кондуит легочной артерии представляет собой укрепленную модель с наружным укреплением клапана двумя оплетенными полипропиленовыми кольцами. Температура хранения должна составлять от 15°C до 25°C (59°F до 77°F). Клапанный кондуит легочной артерии  находится в стерильном не пирогенном растворе, в запечатанном стеклянном контейнере, с крышкой с уплотнением. Измерению подвергается внутренний диаметр кондуита. Внешний диаметр может быть больше. Как укрепленные, так и неукрепленные модели, имеют минимальную длину 10 см, что соответствует размеру 12. Кондуит может расширяться до 4 см. У неукрепленных моделей также до 4 см. Данные размеры разработаны для точного соответствия физиологическим особенностям пациента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1 290 000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2 580 000,00</w:t>
            </w:r>
          </w:p>
        </w:tc>
      </w:tr>
      <w:tr w:rsidR="00C66F4A" w:rsidRPr="00923CC6" w:rsidTr="00923CC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4A" w:rsidRPr="00923CC6" w:rsidRDefault="00C66F4A" w:rsidP="00923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3C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28 367 494,00</w:t>
            </w:r>
          </w:p>
        </w:tc>
      </w:tr>
    </w:tbl>
    <w:p w:rsidR="00153222" w:rsidRPr="00923CC6" w:rsidRDefault="00153222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  <w:lang w:val="en-US"/>
        </w:rPr>
      </w:pPr>
    </w:p>
    <w:p w:rsidR="00A47A84" w:rsidRPr="00923CC6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923CC6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3F6A3D" w:rsidRPr="00923CC6" w:rsidRDefault="003F6A3D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923CC6" w:rsidTr="005D7C38">
        <w:tc>
          <w:tcPr>
            <w:tcW w:w="675" w:type="dxa"/>
            <w:vAlign w:val="center"/>
          </w:tcPr>
          <w:p w:rsidR="00A47A84" w:rsidRPr="00923CC6" w:rsidRDefault="00A47A84" w:rsidP="005D7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3CC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923CC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923CC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A47A84" w:rsidRPr="00923CC6" w:rsidRDefault="00A47A84" w:rsidP="005D7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923CC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923CC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  <w:vAlign w:val="center"/>
          </w:tcPr>
          <w:p w:rsidR="00A47A84" w:rsidRPr="00923CC6" w:rsidRDefault="00A47A84" w:rsidP="005D7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923CC6" w:rsidTr="005D7C38">
        <w:tc>
          <w:tcPr>
            <w:tcW w:w="675" w:type="dxa"/>
            <w:vAlign w:val="center"/>
          </w:tcPr>
          <w:p w:rsidR="00926BC8" w:rsidRPr="00923CC6" w:rsidRDefault="00926BC8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926BC8" w:rsidRPr="00923CC6" w:rsidRDefault="008F421D" w:rsidP="005D7C3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</w:t>
            </w:r>
            <w:proofErr w:type="spellStart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Clever</w:t>
            </w:r>
            <w:proofErr w:type="spellEnd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Medical</w:t>
            </w:r>
            <w:proofErr w:type="spellEnd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926BC8" w:rsidRPr="00923CC6" w:rsidRDefault="000E4E02" w:rsidP="000E4E0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02</w:t>
            </w:r>
            <w:r w:rsidR="007A124E" w:rsidRPr="00923CC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6E0C9F" w:rsidRPr="00923CC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="00C75312" w:rsidRPr="00923CC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 w:rsidRPr="00923CC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6E0C9F" w:rsidRPr="00923CC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="00E628A3" w:rsidRPr="00923CC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C75312" w:rsidRPr="00923CC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г.          </w:t>
            </w:r>
            <w:r w:rsidR="009131EA" w:rsidRPr="00923CC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="00C75312"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372C25"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C75312"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0E4E02" w:rsidRPr="00923CC6" w:rsidTr="001D6425">
        <w:trPr>
          <w:trHeight w:val="179"/>
        </w:trPr>
        <w:tc>
          <w:tcPr>
            <w:tcW w:w="675" w:type="dxa"/>
            <w:vAlign w:val="center"/>
          </w:tcPr>
          <w:p w:rsidR="000E4E02" w:rsidRPr="00923CC6" w:rsidRDefault="000E4E02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  <w:vAlign w:val="center"/>
          </w:tcPr>
          <w:p w:rsidR="000E4E02" w:rsidRPr="00923CC6" w:rsidRDefault="000E4E02" w:rsidP="005D7C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</w:t>
            </w:r>
            <w:proofErr w:type="spellStart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Sunmedica</w:t>
            </w:r>
            <w:proofErr w:type="spellEnd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" (</w:t>
            </w:r>
            <w:proofErr w:type="spellStart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Санмедика</w:t>
            </w:r>
            <w:proofErr w:type="spellEnd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94" w:type="dxa"/>
          </w:tcPr>
          <w:p w:rsidR="000E4E02" w:rsidRPr="00923CC6" w:rsidRDefault="000E4E02" w:rsidP="00335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335E5A"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.02.2021 г.          </w:t>
            </w:r>
            <w:r w:rsidR="00335E5A" w:rsidRPr="00923CC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09</w:t>
            </w: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335E5A"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25</w:t>
            </w: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0E4E02" w:rsidRPr="00923CC6" w:rsidTr="001D6425">
        <w:tc>
          <w:tcPr>
            <w:tcW w:w="675" w:type="dxa"/>
            <w:vAlign w:val="center"/>
          </w:tcPr>
          <w:p w:rsidR="000E4E02" w:rsidRPr="00923CC6" w:rsidRDefault="000E4E02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5245" w:type="dxa"/>
            <w:vAlign w:val="center"/>
          </w:tcPr>
          <w:p w:rsidR="000E4E02" w:rsidRPr="00923CC6" w:rsidRDefault="000E4E02" w:rsidP="005D7C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"DIVES" (</w:t>
            </w:r>
            <w:proofErr w:type="spellStart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Дивес</w:t>
            </w:r>
            <w:proofErr w:type="spellEnd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94" w:type="dxa"/>
          </w:tcPr>
          <w:p w:rsidR="000E4E02" w:rsidRPr="00923CC6" w:rsidRDefault="000E4E02" w:rsidP="00335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335E5A"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.02.2021 г.          1</w:t>
            </w:r>
            <w:r w:rsidR="00335E5A" w:rsidRPr="00923CC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:1</w:t>
            </w:r>
            <w:r w:rsidR="00335E5A"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0E4E02" w:rsidRPr="00923CC6" w:rsidTr="001D6425">
        <w:tc>
          <w:tcPr>
            <w:tcW w:w="675" w:type="dxa"/>
            <w:vAlign w:val="center"/>
          </w:tcPr>
          <w:p w:rsidR="000E4E02" w:rsidRPr="00923CC6" w:rsidRDefault="000E4E02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5245" w:type="dxa"/>
            <w:vAlign w:val="center"/>
          </w:tcPr>
          <w:p w:rsidR="000E4E02" w:rsidRPr="00923CC6" w:rsidRDefault="000E4E02" w:rsidP="005D7C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</w:t>
            </w:r>
            <w:proofErr w:type="spellStart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Dana</w:t>
            </w:r>
            <w:proofErr w:type="spellEnd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Estrella</w:t>
            </w:r>
            <w:proofErr w:type="spellEnd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</w:tcPr>
          <w:p w:rsidR="000E4E02" w:rsidRPr="00923CC6" w:rsidRDefault="000E4E02" w:rsidP="00335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335E5A"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.02.2021 г.          1</w:t>
            </w:r>
            <w:r w:rsidR="00335E5A" w:rsidRPr="00923CC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335E5A"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25</w:t>
            </w: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0E4E02" w:rsidRPr="00923CC6" w:rsidTr="001D6425">
        <w:tc>
          <w:tcPr>
            <w:tcW w:w="675" w:type="dxa"/>
            <w:vAlign w:val="center"/>
          </w:tcPr>
          <w:p w:rsidR="000E4E02" w:rsidRPr="00923CC6" w:rsidRDefault="000E4E02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</w:p>
        </w:tc>
        <w:tc>
          <w:tcPr>
            <w:tcW w:w="5245" w:type="dxa"/>
            <w:vAlign w:val="center"/>
          </w:tcPr>
          <w:p w:rsidR="000E4E02" w:rsidRPr="00923CC6" w:rsidRDefault="000E4E02" w:rsidP="005D7C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</w:t>
            </w:r>
            <w:proofErr w:type="spellStart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Dariya</w:t>
            </w:r>
            <w:proofErr w:type="spellEnd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medica</w:t>
            </w:r>
            <w:proofErr w:type="spellEnd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" (Дарья Медика)</w:t>
            </w:r>
          </w:p>
        </w:tc>
        <w:tc>
          <w:tcPr>
            <w:tcW w:w="4394" w:type="dxa"/>
          </w:tcPr>
          <w:p w:rsidR="000E4E02" w:rsidRPr="00923CC6" w:rsidRDefault="000E4E02" w:rsidP="00335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335E5A"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.02.2021 г.          1</w:t>
            </w:r>
            <w:r w:rsidR="00335E5A" w:rsidRPr="00923CC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335E5A"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0ч.</w:t>
            </w:r>
          </w:p>
        </w:tc>
      </w:tr>
      <w:tr w:rsidR="000E4E02" w:rsidRPr="00923CC6" w:rsidTr="001D6425">
        <w:tc>
          <w:tcPr>
            <w:tcW w:w="675" w:type="dxa"/>
            <w:vAlign w:val="center"/>
          </w:tcPr>
          <w:p w:rsidR="000E4E02" w:rsidRPr="00923CC6" w:rsidRDefault="000E4E02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6</w:t>
            </w:r>
          </w:p>
        </w:tc>
        <w:tc>
          <w:tcPr>
            <w:tcW w:w="5245" w:type="dxa"/>
            <w:vAlign w:val="center"/>
          </w:tcPr>
          <w:p w:rsidR="000E4E02" w:rsidRPr="00923CC6" w:rsidRDefault="000E4E02" w:rsidP="005D7C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ТОО "U.M.C </w:t>
            </w:r>
            <w:proofErr w:type="spellStart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Kazakhstan</w:t>
            </w:r>
            <w:proofErr w:type="spellEnd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</w:tcPr>
          <w:p w:rsidR="000E4E02" w:rsidRPr="00923CC6" w:rsidRDefault="000E4E02" w:rsidP="00335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335E5A"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.02.2021 г.          1</w:t>
            </w:r>
            <w:r w:rsidR="00335E5A" w:rsidRPr="00923CC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335E5A"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55</w:t>
            </w: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0E4E02" w:rsidRPr="00923CC6" w:rsidTr="001D6425">
        <w:tc>
          <w:tcPr>
            <w:tcW w:w="675" w:type="dxa"/>
            <w:vAlign w:val="center"/>
          </w:tcPr>
          <w:p w:rsidR="000E4E02" w:rsidRPr="00923CC6" w:rsidRDefault="000E4E02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7</w:t>
            </w:r>
          </w:p>
        </w:tc>
        <w:tc>
          <w:tcPr>
            <w:tcW w:w="5245" w:type="dxa"/>
            <w:vAlign w:val="center"/>
          </w:tcPr>
          <w:p w:rsidR="000E4E02" w:rsidRPr="00923CC6" w:rsidRDefault="000E4E02" w:rsidP="005D7C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</w:t>
            </w:r>
            <w:proofErr w:type="spellStart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ЕврАзЭС</w:t>
            </w:r>
            <w:proofErr w:type="spellEnd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Холдинг"</w:t>
            </w:r>
          </w:p>
        </w:tc>
        <w:tc>
          <w:tcPr>
            <w:tcW w:w="4394" w:type="dxa"/>
          </w:tcPr>
          <w:p w:rsidR="000E4E02" w:rsidRPr="00923CC6" w:rsidRDefault="000E4E02" w:rsidP="00335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335E5A"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.02.2021 г.          1</w:t>
            </w:r>
            <w:r w:rsidR="00335E5A" w:rsidRPr="00923CC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:10ч.</w:t>
            </w:r>
          </w:p>
        </w:tc>
      </w:tr>
      <w:tr w:rsidR="000E4E02" w:rsidRPr="00923CC6" w:rsidTr="001D6425">
        <w:tc>
          <w:tcPr>
            <w:tcW w:w="675" w:type="dxa"/>
            <w:vAlign w:val="center"/>
          </w:tcPr>
          <w:p w:rsidR="000E4E02" w:rsidRPr="00923CC6" w:rsidRDefault="000E4E02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8</w:t>
            </w:r>
          </w:p>
        </w:tc>
        <w:tc>
          <w:tcPr>
            <w:tcW w:w="5245" w:type="dxa"/>
            <w:vAlign w:val="center"/>
          </w:tcPr>
          <w:p w:rsidR="000E4E02" w:rsidRPr="00923CC6" w:rsidRDefault="000E4E02" w:rsidP="005D7C3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ТОО "SM </w:t>
            </w:r>
            <w:proofErr w:type="spellStart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Global.kz</w:t>
            </w:r>
            <w:proofErr w:type="spellEnd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</w:tcPr>
          <w:p w:rsidR="000E4E02" w:rsidRPr="00923CC6" w:rsidRDefault="000E4E02" w:rsidP="00335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335E5A"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.02.2021 г.          14</w:t>
            </w: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:1</w:t>
            </w:r>
            <w:r w:rsidR="00335E5A"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0E4E02" w:rsidRPr="00923CC6" w:rsidTr="001D6425">
        <w:tc>
          <w:tcPr>
            <w:tcW w:w="675" w:type="dxa"/>
            <w:vAlign w:val="center"/>
          </w:tcPr>
          <w:p w:rsidR="000E4E02" w:rsidRPr="00923CC6" w:rsidRDefault="000E4E02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9</w:t>
            </w:r>
          </w:p>
        </w:tc>
        <w:tc>
          <w:tcPr>
            <w:tcW w:w="5245" w:type="dxa"/>
            <w:vAlign w:val="center"/>
          </w:tcPr>
          <w:p w:rsidR="000E4E02" w:rsidRPr="00923CC6" w:rsidRDefault="000E4E02" w:rsidP="005D7C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</w:t>
            </w:r>
            <w:proofErr w:type="spellStart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Densau</w:t>
            </w:r>
            <w:proofErr w:type="spellEnd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" (</w:t>
            </w:r>
            <w:proofErr w:type="spellStart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Денсау</w:t>
            </w:r>
            <w:proofErr w:type="spellEnd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94" w:type="dxa"/>
          </w:tcPr>
          <w:p w:rsidR="000E4E02" w:rsidRPr="00923CC6" w:rsidRDefault="000E4E02" w:rsidP="00335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335E5A"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.02.2021 г.          1</w:t>
            </w:r>
            <w:r w:rsidR="00335E5A" w:rsidRPr="00923CC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335E5A"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0ч.</w:t>
            </w:r>
          </w:p>
        </w:tc>
      </w:tr>
      <w:tr w:rsidR="000E4E02" w:rsidRPr="00923CC6" w:rsidTr="001D6425">
        <w:tc>
          <w:tcPr>
            <w:tcW w:w="675" w:type="dxa"/>
            <w:vAlign w:val="center"/>
          </w:tcPr>
          <w:p w:rsidR="000E4E02" w:rsidRPr="00923CC6" w:rsidRDefault="000E4E02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10</w:t>
            </w:r>
          </w:p>
        </w:tc>
        <w:tc>
          <w:tcPr>
            <w:tcW w:w="5245" w:type="dxa"/>
            <w:vAlign w:val="center"/>
          </w:tcPr>
          <w:p w:rsidR="000E4E02" w:rsidRPr="00923CC6" w:rsidRDefault="000E4E02" w:rsidP="005D7C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</w:t>
            </w:r>
            <w:proofErr w:type="spellStart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Pharmprovide</w:t>
            </w:r>
            <w:proofErr w:type="spellEnd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</w:tcPr>
          <w:p w:rsidR="000E4E02" w:rsidRPr="00923CC6" w:rsidRDefault="000E4E02" w:rsidP="00335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335E5A"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.02.2021 г.          1</w:t>
            </w:r>
            <w:r w:rsidR="00335E5A" w:rsidRPr="00923CC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</w:t>
            </w: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335E5A"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0ч.</w:t>
            </w:r>
          </w:p>
        </w:tc>
      </w:tr>
    </w:tbl>
    <w:p w:rsidR="008C7E5E" w:rsidRPr="00923CC6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923CC6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923CC6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1"/>
        <w:gridCol w:w="2978"/>
      </w:tblGrid>
      <w:tr w:rsidR="005D1F0F" w:rsidRPr="00923CC6" w:rsidTr="00234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923CC6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923CC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923CC6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3CC6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923CC6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3CC6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923CC6" w:rsidTr="002346A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923CC6" w:rsidRDefault="002346A2" w:rsidP="00234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A2" w:rsidRPr="00923CC6" w:rsidRDefault="00553E25" w:rsidP="00D1590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923CC6" w:rsidRDefault="00553E25" w:rsidP="00D15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23CC6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2346A2" w:rsidRPr="00923CC6" w:rsidRDefault="002346A2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923CC6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23CC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 </w:t>
      </w:r>
      <w:r w:rsidR="005D1F0F" w:rsidRPr="00923CC6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3F6A3D" w:rsidRPr="00923CC6" w:rsidRDefault="003F6A3D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923CC6" w:rsidTr="005D7C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923CC6" w:rsidRDefault="005D1F0F" w:rsidP="005D7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3CC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923CC6" w:rsidRDefault="005D1F0F" w:rsidP="005D7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3CC6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923CC6" w:rsidRDefault="005D1F0F" w:rsidP="005D7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3CC6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923CC6" w:rsidRDefault="005D1F0F" w:rsidP="005D7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3CC6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0077CF" w:rsidRPr="00923CC6" w:rsidTr="005D7C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CF" w:rsidRPr="00923CC6" w:rsidRDefault="000077CF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CF" w:rsidRPr="00923CC6" w:rsidRDefault="000077CF" w:rsidP="005F652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</w:t>
            </w:r>
            <w:proofErr w:type="spellStart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Clever</w:t>
            </w:r>
            <w:proofErr w:type="spellEnd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Medical</w:t>
            </w:r>
            <w:proofErr w:type="spellEnd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CF" w:rsidRPr="00923CC6" w:rsidRDefault="000077CF" w:rsidP="005D7C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3CC6">
              <w:rPr>
                <w:rFonts w:ascii="Times New Roman" w:hAnsi="Times New Roman"/>
                <w:sz w:val="20"/>
                <w:szCs w:val="20"/>
              </w:rPr>
              <w:t>Алматинская</w:t>
            </w:r>
            <w:proofErr w:type="spellEnd"/>
            <w:r w:rsidRPr="00923C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23CC6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923CC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23CC6">
              <w:rPr>
                <w:rFonts w:ascii="Times New Roman" w:hAnsi="Times New Roman"/>
                <w:sz w:val="20"/>
                <w:szCs w:val="20"/>
              </w:rPr>
              <w:t>Карасайский</w:t>
            </w:r>
            <w:proofErr w:type="spellEnd"/>
            <w:r w:rsidRPr="00923C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23CC6">
              <w:rPr>
                <w:rFonts w:ascii="Times New Roman" w:hAnsi="Times New Roman"/>
                <w:sz w:val="20"/>
                <w:szCs w:val="20"/>
              </w:rPr>
              <w:t>р-он</w:t>
            </w:r>
            <w:proofErr w:type="spellEnd"/>
            <w:r w:rsidRPr="00923CC6">
              <w:rPr>
                <w:rFonts w:ascii="Times New Roman" w:hAnsi="Times New Roman"/>
                <w:sz w:val="20"/>
                <w:szCs w:val="20"/>
              </w:rPr>
              <w:t xml:space="preserve">, с. </w:t>
            </w:r>
            <w:proofErr w:type="spellStart"/>
            <w:r w:rsidRPr="00923CC6">
              <w:rPr>
                <w:rFonts w:ascii="Times New Roman" w:hAnsi="Times New Roman"/>
                <w:sz w:val="20"/>
                <w:szCs w:val="20"/>
              </w:rPr>
              <w:t>Кокузек</w:t>
            </w:r>
            <w:proofErr w:type="spellEnd"/>
            <w:r w:rsidRPr="00923CC6">
              <w:rPr>
                <w:rFonts w:ascii="Times New Roman" w:hAnsi="Times New Roman"/>
                <w:sz w:val="20"/>
                <w:szCs w:val="20"/>
              </w:rPr>
              <w:t>, строение 433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CF" w:rsidRPr="00923CC6" w:rsidRDefault="00325C57" w:rsidP="005D7C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color w:val="000000"/>
                <w:sz w:val="20"/>
                <w:szCs w:val="20"/>
              </w:rPr>
              <w:t>187 500</w:t>
            </w:r>
            <w:r w:rsidR="000077CF" w:rsidRPr="00923CC6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0077CF" w:rsidRPr="00923CC6" w:rsidTr="005D7C38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CF" w:rsidRPr="00923CC6" w:rsidRDefault="000077CF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CF" w:rsidRPr="00923CC6" w:rsidRDefault="000077CF" w:rsidP="000077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"DIVES" (</w:t>
            </w:r>
            <w:proofErr w:type="spellStart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Дивес</w:t>
            </w:r>
            <w:proofErr w:type="spellEnd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</w:t>
            </w:r>
            <w:r w:rsidRPr="00923C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CF" w:rsidRPr="00923CC6" w:rsidRDefault="000077CF" w:rsidP="005D7C38">
            <w:pPr>
              <w:rPr>
                <w:rFonts w:ascii="Times New Roman" w:hAnsi="Times New Roman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923CC6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923CC6">
              <w:rPr>
                <w:rFonts w:ascii="Times New Roman" w:hAnsi="Times New Roman"/>
                <w:sz w:val="20"/>
                <w:szCs w:val="20"/>
              </w:rPr>
              <w:t>, ул. Гоголя 89А, офис 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CF" w:rsidRPr="00923CC6" w:rsidRDefault="00325C57" w:rsidP="005D7C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color w:val="000000"/>
                <w:sz w:val="20"/>
                <w:szCs w:val="20"/>
              </w:rPr>
              <w:t>1 950 000</w:t>
            </w:r>
            <w:r w:rsidR="000077CF" w:rsidRPr="00923CC6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0077CF" w:rsidRPr="00923CC6" w:rsidTr="005D7C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CF" w:rsidRPr="00923CC6" w:rsidRDefault="000077CF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CF" w:rsidRPr="00923CC6" w:rsidRDefault="000077CF" w:rsidP="000077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</w:t>
            </w:r>
            <w:proofErr w:type="spellStart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Dana</w:t>
            </w:r>
            <w:proofErr w:type="spellEnd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Estrella</w:t>
            </w:r>
            <w:proofErr w:type="spellEnd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"</w:t>
            </w:r>
            <w:r w:rsidRPr="00923C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CF" w:rsidRPr="00923CC6" w:rsidRDefault="000077CF" w:rsidP="005D7C38">
            <w:pPr>
              <w:rPr>
                <w:rFonts w:ascii="Times New Roman" w:hAnsi="Times New Roman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923CC6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923CC6">
              <w:rPr>
                <w:rFonts w:ascii="Times New Roman" w:hAnsi="Times New Roman"/>
                <w:sz w:val="20"/>
                <w:szCs w:val="20"/>
              </w:rPr>
              <w:t>, ул. Гоголя 89А, офис 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CF" w:rsidRPr="00923CC6" w:rsidRDefault="00325C57" w:rsidP="005D7C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color w:val="000000"/>
                <w:sz w:val="20"/>
                <w:szCs w:val="20"/>
              </w:rPr>
              <w:t>2 578 000</w:t>
            </w:r>
            <w:r w:rsidR="000077CF" w:rsidRPr="00923CC6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485BA8" w:rsidRPr="00923CC6" w:rsidTr="000E71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BA8" w:rsidRPr="00923CC6" w:rsidRDefault="00485BA8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BA8" w:rsidRPr="00923CC6" w:rsidRDefault="00485BA8" w:rsidP="005F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</w:t>
            </w:r>
            <w:proofErr w:type="spellStart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Dariya</w:t>
            </w:r>
            <w:proofErr w:type="spellEnd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medica</w:t>
            </w:r>
            <w:proofErr w:type="spellEnd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" (Дарья Медика)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A8" w:rsidRPr="00923CC6" w:rsidRDefault="00485BA8">
            <w:pPr>
              <w:rPr>
                <w:rFonts w:ascii="Times New Roman" w:hAnsi="Times New Roman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923CC6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923CC6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 w:rsidRPr="00923CC6">
              <w:rPr>
                <w:rFonts w:ascii="Times New Roman" w:hAnsi="Times New Roman"/>
                <w:sz w:val="20"/>
                <w:szCs w:val="20"/>
              </w:rPr>
              <w:t>Зенкова</w:t>
            </w:r>
            <w:proofErr w:type="spellEnd"/>
            <w:r w:rsidRPr="00923CC6">
              <w:rPr>
                <w:rFonts w:ascii="Times New Roman" w:hAnsi="Times New Roman"/>
                <w:sz w:val="20"/>
                <w:szCs w:val="20"/>
              </w:rPr>
              <w:t xml:space="preserve"> 86, кВ.60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BA8" w:rsidRPr="00923CC6" w:rsidRDefault="00325C57" w:rsidP="005D7C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color w:val="000000"/>
                <w:sz w:val="20"/>
                <w:szCs w:val="20"/>
              </w:rPr>
              <w:t>886 600</w:t>
            </w:r>
            <w:r w:rsidR="00485BA8" w:rsidRPr="00923CC6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485BA8" w:rsidRPr="00923CC6" w:rsidTr="000E71B8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BA8" w:rsidRPr="00923CC6" w:rsidRDefault="00485BA8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BA8" w:rsidRPr="00923CC6" w:rsidRDefault="00485BA8" w:rsidP="005F652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ТОО "SM </w:t>
            </w:r>
            <w:proofErr w:type="spellStart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Global.kz</w:t>
            </w:r>
            <w:proofErr w:type="spellEnd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A8" w:rsidRPr="00923CC6" w:rsidRDefault="00485BA8">
            <w:pPr>
              <w:rPr>
                <w:rFonts w:ascii="Times New Roman" w:hAnsi="Times New Roman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923CC6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923CC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23CC6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923CC6">
              <w:rPr>
                <w:rFonts w:ascii="Times New Roman" w:hAnsi="Times New Roman"/>
                <w:sz w:val="20"/>
                <w:szCs w:val="20"/>
              </w:rPr>
              <w:t>. Коктем-2, д.2, кВ.38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BA8" w:rsidRPr="00923CC6" w:rsidRDefault="00325C57" w:rsidP="005D7C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color w:val="000000"/>
                <w:sz w:val="20"/>
                <w:szCs w:val="20"/>
              </w:rPr>
              <w:t>4 104 500</w:t>
            </w:r>
            <w:r w:rsidR="00485BA8" w:rsidRPr="00923CC6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485BA8" w:rsidRPr="00923CC6" w:rsidTr="000E71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BA8" w:rsidRPr="00923CC6" w:rsidRDefault="00485BA8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BA8" w:rsidRPr="00923CC6" w:rsidRDefault="00485BA8" w:rsidP="000077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</w:t>
            </w:r>
            <w:proofErr w:type="spellStart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Densau</w:t>
            </w:r>
            <w:proofErr w:type="spellEnd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" (</w:t>
            </w:r>
            <w:proofErr w:type="spellStart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Денсау</w:t>
            </w:r>
            <w:proofErr w:type="spellEnd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</w:t>
            </w:r>
            <w:r w:rsidRPr="00923C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A8" w:rsidRPr="00923CC6" w:rsidRDefault="00485BA8" w:rsidP="00485BA8">
            <w:pPr>
              <w:rPr>
                <w:rFonts w:ascii="Times New Roman" w:hAnsi="Times New Roman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923CC6">
              <w:rPr>
                <w:rFonts w:ascii="Times New Roman" w:hAnsi="Times New Roman"/>
                <w:sz w:val="20"/>
                <w:szCs w:val="20"/>
              </w:rPr>
              <w:t>Нур-Султан</w:t>
            </w:r>
            <w:proofErr w:type="spellEnd"/>
            <w:r w:rsidRPr="00923CC6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 w:rsidRPr="00923CC6">
              <w:rPr>
                <w:rFonts w:ascii="Times New Roman" w:hAnsi="Times New Roman"/>
                <w:sz w:val="20"/>
                <w:szCs w:val="20"/>
              </w:rPr>
              <w:t>Кенесары</w:t>
            </w:r>
            <w:proofErr w:type="spellEnd"/>
            <w:r w:rsidRPr="00923CC6">
              <w:rPr>
                <w:rFonts w:ascii="Times New Roman" w:hAnsi="Times New Roman"/>
                <w:sz w:val="20"/>
                <w:szCs w:val="20"/>
              </w:rPr>
              <w:t xml:space="preserve"> 70А, оф.549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BA8" w:rsidRPr="00923CC6" w:rsidRDefault="00325C57" w:rsidP="005D7C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color w:val="000000"/>
                <w:sz w:val="20"/>
                <w:szCs w:val="20"/>
              </w:rPr>
              <w:t>1 206 300</w:t>
            </w:r>
            <w:r w:rsidR="00485BA8" w:rsidRPr="00923CC6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485BA8" w:rsidRPr="00923CC6" w:rsidTr="000E71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BA8" w:rsidRPr="00923CC6" w:rsidRDefault="00485BA8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BA8" w:rsidRPr="00923CC6" w:rsidRDefault="00485BA8" w:rsidP="005F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</w:t>
            </w:r>
            <w:proofErr w:type="spellStart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Pharmprovide</w:t>
            </w:r>
            <w:proofErr w:type="spellEnd"/>
            <w:r w:rsidRPr="008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A8" w:rsidRPr="00923CC6" w:rsidRDefault="00485BA8">
            <w:pPr>
              <w:rPr>
                <w:rFonts w:ascii="Times New Roman" w:hAnsi="Times New Roman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923CC6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923CC6">
              <w:rPr>
                <w:rFonts w:ascii="Times New Roman" w:hAnsi="Times New Roman"/>
                <w:sz w:val="20"/>
                <w:szCs w:val="20"/>
              </w:rPr>
              <w:t>, ул. Блока 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BA8" w:rsidRPr="00923CC6" w:rsidRDefault="00325C57" w:rsidP="005D7C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CC6">
              <w:rPr>
                <w:rFonts w:ascii="Times New Roman" w:hAnsi="Times New Roman"/>
                <w:color w:val="000000"/>
                <w:sz w:val="20"/>
                <w:szCs w:val="20"/>
              </w:rPr>
              <w:t>1 900 000</w:t>
            </w:r>
            <w:r w:rsidR="00485BA8" w:rsidRPr="00923CC6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</w:tbl>
    <w:p w:rsidR="004A24C2" w:rsidRPr="00923CC6" w:rsidRDefault="004A24C2" w:rsidP="00553216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077CF" w:rsidRPr="00923CC6" w:rsidRDefault="00D5059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23CC6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923CC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923CC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923CC6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</w:t>
      </w:r>
      <w:r w:rsidR="00797443" w:rsidRPr="00923CC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485BA8" w:rsidRPr="00923CC6">
        <w:rPr>
          <w:rFonts w:ascii="Times New Roman" w:eastAsia="Times New Roman" w:hAnsi="Times New Roman"/>
          <w:b/>
          <w:sz w:val="20"/>
          <w:szCs w:val="20"/>
          <w:lang w:eastAsia="ru-RU"/>
        </w:rPr>
        <w:t>15</w:t>
      </w:r>
      <w:r w:rsidR="007B5250" w:rsidRPr="00923CC6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553E25" w:rsidRPr="00923CC6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553216" w:rsidRPr="00923CC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553216" w:rsidRPr="00923CC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</w:t>
      </w:r>
    </w:p>
    <w:p w:rsidR="00715290" w:rsidRPr="00923CC6" w:rsidRDefault="0055321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23CC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</w:p>
    <w:sectPr w:rsidR="00715290" w:rsidRPr="00923CC6" w:rsidSect="009F49F6">
      <w:footerReference w:type="default" r:id="rId8"/>
      <w:pgSz w:w="11906" w:h="16838"/>
      <w:pgMar w:top="426" w:right="851" w:bottom="426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F4A" w:rsidRDefault="00C66F4A">
      <w:pPr>
        <w:spacing w:after="0" w:line="240" w:lineRule="auto"/>
      </w:pPr>
      <w:r>
        <w:separator/>
      </w:r>
    </w:p>
  </w:endnote>
  <w:endnote w:type="continuationSeparator" w:id="1">
    <w:p w:rsidR="00C66F4A" w:rsidRDefault="00C6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F4A" w:rsidRDefault="00C66F4A">
    <w:pPr>
      <w:pStyle w:val="a5"/>
      <w:jc w:val="center"/>
    </w:pPr>
    <w:fldSimple w:instr=" PAGE   \* MERGEFORMAT ">
      <w:r w:rsidR="00923CC6">
        <w:rPr>
          <w:noProof/>
        </w:rPr>
        <w:t>4</w:t>
      </w:r>
    </w:fldSimple>
  </w:p>
  <w:p w:rsidR="00C66F4A" w:rsidRDefault="00C66F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F4A" w:rsidRDefault="00C66F4A">
      <w:pPr>
        <w:spacing w:after="0" w:line="240" w:lineRule="auto"/>
      </w:pPr>
      <w:r>
        <w:separator/>
      </w:r>
    </w:p>
  </w:footnote>
  <w:footnote w:type="continuationSeparator" w:id="1">
    <w:p w:rsidR="00C66F4A" w:rsidRDefault="00C66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077CF"/>
    <w:rsid w:val="00011873"/>
    <w:rsid w:val="00013325"/>
    <w:rsid w:val="00015FB9"/>
    <w:rsid w:val="00017180"/>
    <w:rsid w:val="00025B24"/>
    <w:rsid w:val="00025BEB"/>
    <w:rsid w:val="0002758F"/>
    <w:rsid w:val="000275C3"/>
    <w:rsid w:val="000275CE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3724"/>
    <w:rsid w:val="0006752A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985"/>
    <w:rsid w:val="000A0AB1"/>
    <w:rsid w:val="000A2A32"/>
    <w:rsid w:val="000A2BDB"/>
    <w:rsid w:val="000A335F"/>
    <w:rsid w:val="000B5C27"/>
    <w:rsid w:val="000B663B"/>
    <w:rsid w:val="000B678E"/>
    <w:rsid w:val="000C2940"/>
    <w:rsid w:val="000C67A9"/>
    <w:rsid w:val="000C72E6"/>
    <w:rsid w:val="000D3D99"/>
    <w:rsid w:val="000D4E86"/>
    <w:rsid w:val="000D7D29"/>
    <w:rsid w:val="000E0646"/>
    <w:rsid w:val="000E4E02"/>
    <w:rsid w:val="000E5618"/>
    <w:rsid w:val="000E79A1"/>
    <w:rsid w:val="000E7D96"/>
    <w:rsid w:val="000F3784"/>
    <w:rsid w:val="000F58EE"/>
    <w:rsid w:val="000F6CBE"/>
    <w:rsid w:val="001020F3"/>
    <w:rsid w:val="00105401"/>
    <w:rsid w:val="001073FE"/>
    <w:rsid w:val="001113CF"/>
    <w:rsid w:val="00111435"/>
    <w:rsid w:val="00113362"/>
    <w:rsid w:val="00113827"/>
    <w:rsid w:val="001139A3"/>
    <w:rsid w:val="0012164E"/>
    <w:rsid w:val="00124BAA"/>
    <w:rsid w:val="00127F77"/>
    <w:rsid w:val="001324F1"/>
    <w:rsid w:val="00132805"/>
    <w:rsid w:val="00133479"/>
    <w:rsid w:val="001351A6"/>
    <w:rsid w:val="00143573"/>
    <w:rsid w:val="00151FA6"/>
    <w:rsid w:val="00153222"/>
    <w:rsid w:val="001600DD"/>
    <w:rsid w:val="00161BAF"/>
    <w:rsid w:val="001646D4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3BCC"/>
    <w:rsid w:val="001A7BA1"/>
    <w:rsid w:val="001B0B3C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6F71"/>
    <w:rsid w:val="002011AA"/>
    <w:rsid w:val="00204A43"/>
    <w:rsid w:val="00205D44"/>
    <w:rsid w:val="00207F3A"/>
    <w:rsid w:val="0021529F"/>
    <w:rsid w:val="00216041"/>
    <w:rsid w:val="00216895"/>
    <w:rsid w:val="00220AA8"/>
    <w:rsid w:val="002212FF"/>
    <w:rsid w:val="00223D2F"/>
    <w:rsid w:val="002346A2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2DFB"/>
    <w:rsid w:val="002E35D9"/>
    <w:rsid w:val="002F522E"/>
    <w:rsid w:val="002F69C6"/>
    <w:rsid w:val="003032A8"/>
    <w:rsid w:val="00304AFD"/>
    <w:rsid w:val="003051C2"/>
    <w:rsid w:val="00305413"/>
    <w:rsid w:val="003113B1"/>
    <w:rsid w:val="00320FB9"/>
    <w:rsid w:val="00325C57"/>
    <w:rsid w:val="00334336"/>
    <w:rsid w:val="003347AD"/>
    <w:rsid w:val="00335E5A"/>
    <w:rsid w:val="00337AD1"/>
    <w:rsid w:val="00342E31"/>
    <w:rsid w:val="00342F09"/>
    <w:rsid w:val="00344E4F"/>
    <w:rsid w:val="00345EF4"/>
    <w:rsid w:val="003460B2"/>
    <w:rsid w:val="003471A0"/>
    <w:rsid w:val="0035272D"/>
    <w:rsid w:val="00362238"/>
    <w:rsid w:val="00366A00"/>
    <w:rsid w:val="00370F37"/>
    <w:rsid w:val="00372C25"/>
    <w:rsid w:val="00372E58"/>
    <w:rsid w:val="00374885"/>
    <w:rsid w:val="003754AF"/>
    <w:rsid w:val="00375D58"/>
    <w:rsid w:val="00377750"/>
    <w:rsid w:val="003777D3"/>
    <w:rsid w:val="00383C88"/>
    <w:rsid w:val="0039219B"/>
    <w:rsid w:val="00394C3A"/>
    <w:rsid w:val="00397764"/>
    <w:rsid w:val="003A519E"/>
    <w:rsid w:val="003A75EC"/>
    <w:rsid w:val="003A7982"/>
    <w:rsid w:val="003B1D32"/>
    <w:rsid w:val="003B44E5"/>
    <w:rsid w:val="003B6DBA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A3D"/>
    <w:rsid w:val="003F6D0A"/>
    <w:rsid w:val="004052E2"/>
    <w:rsid w:val="00411E90"/>
    <w:rsid w:val="00414B47"/>
    <w:rsid w:val="004202FE"/>
    <w:rsid w:val="004226D0"/>
    <w:rsid w:val="00426BE9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BA8"/>
    <w:rsid w:val="00485E1D"/>
    <w:rsid w:val="0048696E"/>
    <w:rsid w:val="004903E3"/>
    <w:rsid w:val="004958D4"/>
    <w:rsid w:val="00496AA8"/>
    <w:rsid w:val="004A0CEB"/>
    <w:rsid w:val="004A1FF6"/>
    <w:rsid w:val="004A24C2"/>
    <w:rsid w:val="004A5DFE"/>
    <w:rsid w:val="004B31B8"/>
    <w:rsid w:val="004B412E"/>
    <w:rsid w:val="004B68A9"/>
    <w:rsid w:val="004B6D0F"/>
    <w:rsid w:val="004B75AB"/>
    <w:rsid w:val="004B7B8C"/>
    <w:rsid w:val="004C1C33"/>
    <w:rsid w:val="004C24C3"/>
    <w:rsid w:val="004C53E2"/>
    <w:rsid w:val="004C5B60"/>
    <w:rsid w:val="004D51D7"/>
    <w:rsid w:val="004D665D"/>
    <w:rsid w:val="004E0232"/>
    <w:rsid w:val="004E0D64"/>
    <w:rsid w:val="004E3305"/>
    <w:rsid w:val="004E3B0E"/>
    <w:rsid w:val="004E57E9"/>
    <w:rsid w:val="004F6D45"/>
    <w:rsid w:val="00500D8F"/>
    <w:rsid w:val="00501E22"/>
    <w:rsid w:val="005035DE"/>
    <w:rsid w:val="00503B9C"/>
    <w:rsid w:val="005049E0"/>
    <w:rsid w:val="00505A45"/>
    <w:rsid w:val="005107C1"/>
    <w:rsid w:val="00510CF3"/>
    <w:rsid w:val="00525495"/>
    <w:rsid w:val="00526F04"/>
    <w:rsid w:val="00527F00"/>
    <w:rsid w:val="00530564"/>
    <w:rsid w:val="0053755D"/>
    <w:rsid w:val="0055102C"/>
    <w:rsid w:val="00551F94"/>
    <w:rsid w:val="00553216"/>
    <w:rsid w:val="00553E25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87BD1"/>
    <w:rsid w:val="00590D07"/>
    <w:rsid w:val="00593A65"/>
    <w:rsid w:val="00594CAE"/>
    <w:rsid w:val="00596681"/>
    <w:rsid w:val="005A012C"/>
    <w:rsid w:val="005A1D6F"/>
    <w:rsid w:val="005A407F"/>
    <w:rsid w:val="005A5685"/>
    <w:rsid w:val="005B4FDF"/>
    <w:rsid w:val="005B501F"/>
    <w:rsid w:val="005B5E64"/>
    <w:rsid w:val="005C0DCA"/>
    <w:rsid w:val="005C6599"/>
    <w:rsid w:val="005C746A"/>
    <w:rsid w:val="005D1F0F"/>
    <w:rsid w:val="005D26BF"/>
    <w:rsid w:val="005D2B2F"/>
    <w:rsid w:val="005D5C5E"/>
    <w:rsid w:val="005D682A"/>
    <w:rsid w:val="005D7C38"/>
    <w:rsid w:val="005D7FF9"/>
    <w:rsid w:val="005E2EDF"/>
    <w:rsid w:val="005F05FB"/>
    <w:rsid w:val="005F0D53"/>
    <w:rsid w:val="005F52BD"/>
    <w:rsid w:val="005F598F"/>
    <w:rsid w:val="005F7796"/>
    <w:rsid w:val="006021E2"/>
    <w:rsid w:val="00611173"/>
    <w:rsid w:val="00611F8C"/>
    <w:rsid w:val="00614400"/>
    <w:rsid w:val="006212E9"/>
    <w:rsid w:val="00624AD2"/>
    <w:rsid w:val="00641075"/>
    <w:rsid w:val="00653277"/>
    <w:rsid w:val="00660176"/>
    <w:rsid w:val="0066166D"/>
    <w:rsid w:val="006653AB"/>
    <w:rsid w:val="00665E4F"/>
    <w:rsid w:val="00667153"/>
    <w:rsid w:val="00672523"/>
    <w:rsid w:val="00673929"/>
    <w:rsid w:val="0067645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A6E61"/>
    <w:rsid w:val="006B3893"/>
    <w:rsid w:val="006B3FE4"/>
    <w:rsid w:val="006B4D1B"/>
    <w:rsid w:val="006B5F8C"/>
    <w:rsid w:val="006C0378"/>
    <w:rsid w:val="006C07E3"/>
    <w:rsid w:val="006C17CA"/>
    <w:rsid w:val="006C2BCE"/>
    <w:rsid w:val="006C6DAE"/>
    <w:rsid w:val="006C6FB3"/>
    <w:rsid w:val="006D0146"/>
    <w:rsid w:val="006D10F4"/>
    <w:rsid w:val="006D4EF9"/>
    <w:rsid w:val="006D646B"/>
    <w:rsid w:val="006D7816"/>
    <w:rsid w:val="006E0C9F"/>
    <w:rsid w:val="006E35AA"/>
    <w:rsid w:val="006F1BA8"/>
    <w:rsid w:val="006F324E"/>
    <w:rsid w:val="006F53A9"/>
    <w:rsid w:val="006F5AFE"/>
    <w:rsid w:val="006F5EEC"/>
    <w:rsid w:val="007005F8"/>
    <w:rsid w:val="00703D8D"/>
    <w:rsid w:val="00704E0D"/>
    <w:rsid w:val="00715290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1E4E"/>
    <w:rsid w:val="00762771"/>
    <w:rsid w:val="00765BA4"/>
    <w:rsid w:val="0076703B"/>
    <w:rsid w:val="00767E9F"/>
    <w:rsid w:val="00770AAD"/>
    <w:rsid w:val="0077206C"/>
    <w:rsid w:val="00774BA4"/>
    <w:rsid w:val="00777625"/>
    <w:rsid w:val="00780070"/>
    <w:rsid w:val="00781DEC"/>
    <w:rsid w:val="00782978"/>
    <w:rsid w:val="00787FDB"/>
    <w:rsid w:val="00791416"/>
    <w:rsid w:val="007934DD"/>
    <w:rsid w:val="0079506B"/>
    <w:rsid w:val="00795F0A"/>
    <w:rsid w:val="00796578"/>
    <w:rsid w:val="00797443"/>
    <w:rsid w:val="007A124E"/>
    <w:rsid w:val="007A199E"/>
    <w:rsid w:val="007A2547"/>
    <w:rsid w:val="007A37C9"/>
    <w:rsid w:val="007B0DBC"/>
    <w:rsid w:val="007B48D4"/>
    <w:rsid w:val="007B5250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4E8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35864"/>
    <w:rsid w:val="00841238"/>
    <w:rsid w:val="0084217D"/>
    <w:rsid w:val="0084678B"/>
    <w:rsid w:val="00847E9B"/>
    <w:rsid w:val="008500D2"/>
    <w:rsid w:val="008534A6"/>
    <w:rsid w:val="00853AEC"/>
    <w:rsid w:val="0085604F"/>
    <w:rsid w:val="00857A71"/>
    <w:rsid w:val="008635A4"/>
    <w:rsid w:val="00865260"/>
    <w:rsid w:val="00873B48"/>
    <w:rsid w:val="00874861"/>
    <w:rsid w:val="00884D4F"/>
    <w:rsid w:val="00886EDA"/>
    <w:rsid w:val="00892664"/>
    <w:rsid w:val="008927A0"/>
    <w:rsid w:val="00895597"/>
    <w:rsid w:val="00895AB2"/>
    <w:rsid w:val="008A1231"/>
    <w:rsid w:val="008B3BC2"/>
    <w:rsid w:val="008B4315"/>
    <w:rsid w:val="008B5DCA"/>
    <w:rsid w:val="008C56AF"/>
    <w:rsid w:val="008C7E5E"/>
    <w:rsid w:val="008D0BE4"/>
    <w:rsid w:val="008D2723"/>
    <w:rsid w:val="008D6F62"/>
    <w:rsid w:val="008E1A98"/>
    <w:rsid w:val="008E401F"/>
    <w:rsid w:val="008E4297"/>
    <w:rsid w:val="008E764E"/>
    <w:rsid w:val="008F2DF1"/>
    <w:rsid w:val="008F38D9"/>
    <w:rsid w:val="008F421D"/>
    <w:rsid w:val="008F5848"/>
    <w:rsid w:val="008F688D"/>
    <w:rsid w:val="00906E70"/>
    <w:rsid w:val="009131EA"/>
    <w:rsid w:val="009139EB"/>
    <w:rsid w:val="00917750"/>
    <w:rsid w:val="009179DC"/>
    <w:rsid w:val="00923CC6"/>
    <w:rsid w:val="00926BC8"/>
    <w:rsid w:val="009316D9"/>
    <w:rsid w:val="00931F8F"/>
    <w:rsid w:val="00935A6C"/>
    <w:rsid w:val="00936576"/>
    <w:rsid w:val="00936A71"/>
    <w:rsid w:val="00937C0C"/>
    <w:rsid w:val="0095096D"/>
    <w:rsid w:val="009524AF"/>
    <w:rsid w:val="00954CC8"/>
    <w:rsid w:val="00963DD5"/>
    <w:rsid w:val="00971C79"/>
    <w:rsid w:val="009728F7"/>
    <w:rsid w:val="00972D32"/>
    <w:rsid w:val="009738AC"/>
    <w:rsid w:val="00980DF2"/>
    <w:rsid w:val="00981C10"/>
    <w:rsid w:val="00987D49"/>
    <w:rsid w:val="009943C0"/>
    <w:rsid w:val="009966A5"/>
    <w:rsid w:val="009A3AC0"/>
    <w:rsid w:val="009A6996"/>
    <w:rsid w:val="009B01FD"/>
    <w:rsid w:val="009B074D"/>
    <w:rsid w:val="009B3DF1"/>
    <w:rsid w:val="009B78D9"/>
    <w:rsid w:val="009B7BA4"/>
    <w:rsid w:val="009C4E39"/>
    <w:rsid w:val="009C4EC1"/>
    <w:rsid w:val="009C5D29"/>
    <w:rsid w:val="009C70F8"/>
    <w:rsid w:val="009C7A5F"/>
    <w:rsid w:val="009D0A67"/>
    <w:rsid w:val="009D16E7"/>
    <w:rsid w:val="009D1DA6"/>
    <w:rsid w:val="009D2D6A"/>
    <w:rsid w:val="009D3CC3"/>
    <w:rsid w:val="009D6B0F"/>
    <w:rsid w:val="009E09B7"/>
    <w:rsid w:val="009E731E"/>
    <w:rsid w:val="009E7807"/>
    <w:rsid w:val="009F080B"/>
    <w:rsid w:val="009F39EA"/>
    <w:rsid w:val="009F49F6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2025"/>
    <w:rsid w:val="00A24572"/>
    <w:rsid w:val="00A27CD2"/>
    <w:rsid w:val="00A315A9"/>
    <w:rsid w:val="00A31964"/>
    <w:rsid w:val="00A32FB0"/>
    <w:rsid w:val="00A41282"/>
    <w:rsid w:val="00A426E3"/>
    <w:rsid w:val="00A442ED"/>
    <w:rsid w:val="00A45707"/>
    <w:rsid w:val="00A46811"/>
    <w:rsid w:val="00A4737E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1072"/>
    <w:rsid w:val="00A73356"/>
    <w:rsid w:val="00A734E8"/>
    <w:rsid w:val="00A74201"/>
    <w:rsid w:val="00A74B41"/>
    <w:rsid w:val="00A75573"/>
    <w:rsid w:val="00A76443"/>
    <w:rsid w:val="00A814B6"/>
    <w:rsid w:val="00A8166E"/>
    <w:rsid w:val="00A844F2"/>
    <w:rsid w:val="00A86F0C"/>
    <w:rsid w:val="00A918B9"/>
    <w:rsid w:val="00A931C7"/>
    <w:rsid w:val="00A933E9"/>
    <w:rsid w:val="00A94651"/>
    <w:rsid w:val="00A959A1"/>
    <w:rsid w:val="00A97D34"/>
    <w:rsid w:val="00AA56D5"/>
    <w:rsid w:val="00AA5C57"/>
    <w:rsid w:val="00AA5E1F"/>
    <w:rsid w:val="00AB210D"/>
    <w:rsid w:val="00AB2EF3"/>
    <w:rsid w:val="00AB411F"/>
    <w:rsid w:val="00AB7371"/>
    <w:rsid w:val="00AB79E2"/>
    <w:rsid w:val="00AC59D3"/>
    <w:rsid w:val="00AC783C"/>
    <w:rsid w:val="00AD448D"/>
    <w:rsid w:val="00AD540A"/>
    <w:rsid w:val="00AE47BE"/>
    <w:rsid w:val="00AF05B1"/>
    <w:rsid w:val="00AF4C3E"/>
    <w:rsid w:val="00AF56FB"/>
    <w:rsid w:val="00B053D7"/>
    <w:rsid w:val="00B05BB6"/>
    <w:rsid w:val="00B06169"/>
    <w:rsid w:val="00B06DDE"/>
    <w:rsid w:val="00B07021"/>
    <w:rsid w:val="00B10A2C"/>
    <w:rsid w:val="00B1266C"/>
    <w:rsid w:val="00B13709"/>
    <w:rsid w:val="00B14061"/>
    <w:rsid w:val="00B1525A"/>
    <w:rsid w:val="00B17B47"/>
    <w:rsid w:val="00B2087B"/>
    <w:rsid w:val="00B20D0A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3EB6"/>
    <w:rsid w:val="00BC4AD1"/>
    <w:rsid w:val="00BC63F1"/>
    <w:rsid w:val="00BD2419"/>
    <w:rsid w:val="00BD30C1"/>
    <w:rsid w:val="00BD60E9"/>
    <w:rsid w:val="00BE0A23"/>
    <w:rsid w:val="00BE141B"/>
    <w:rsid w:val="00BE1FA7"/>
    <w:rsid w:val="00BF7B87"/>
    <w:rsid w:val="00C01E7F"/>
    <w:rsid w:val="00C03772"/>
    <w:rsid w:val="00C05EBB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468FA"/>
    <w:rsid w:val="00C50077"/>
    <w:rsid w:val="00C53902"/>
    <w:rsid w:val="00C551C1"/>
    <w:rsid w:val="00C578FE"/>
    <w:rsid w:val="00C63EDF"/>
    <w:rsid w:val="00C6472E"/>
    <w:rsid w:val="00C64C43"/>
    <w:rsid w:val="00C662A6"/>
    <w:rsid w:val="00C66F4A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94166"/>
    <w:rsid w:val="00CA1B26"/>
    <w:rsid w:val="00CA49BF"/>
    <w:rsid w:val="00CA4BF4"/>
    <w:rsid w:val="00CA7896"/>
    <w:rsid w:val="00CA7A4A"/>
    <w:rsid w:val="00CB0D7A"/>
    <w:rsid w:val="00CB3B02"/>
    <w:rsid w:val="00CB5948"/>
    <w:rsid w:val="00CB6B4F"/>
    <w:rsid w:val="00CC0938"/>
    <w:rsid w:val="00CC0E37"/>
    <w:rsid w:val="00CD5891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360"/>
    <w:rsid w:val="00D10E6C"/>
    <w:rsid w:val="00D11672"/>
    <w:rsid w:val="00D1265B"/>
    <w:rsid w:val="00D15112"/>
    <w:rsid w:val="00D1590C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63445"/>
    <w:rsid w:val="00D7065F"/>
    <w:rsid w:val="00D71345"/>
    <w:rsid w:val="00D72D3B"/>
    <w:rsid w:val="00D73FA8"/>
    <w:rsid w:val="00D766C2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C7792"/>
    <w:rsid w:val="00DC793E"/>
    <w:rsid w:val="00DD7034"/>
    <w:rsid w:val="00DD7049"/>
    <w:rsid w:val="00DE1A79"/>
    <w:rsid w:val="00DE386C"/>
    <w:rsid w:val="00DF0CD0"/>
    <w:rsid w:val="00DF2850"/>
    <w:rsid w:val="00DF2C88"/>
    <w:rsid w:val="00DF42DE"/>
    <w:rsid w:val="00DF5BAD"/>
    <w:rsid w:val="00DF5DE8"/>
    <w:rsid w:val="00DF782A"/>
    <w:rsid w:val="00E0015D"/>
    <w:rsid w:val="00E00CB7"/>
    <w:rsid w:val="00E12446"/>
    <w:rsid w:val="00E12657"/>
    <w:rsid w:val="00E15B91"/>
    <w:rsid w:val="00E160A5"/>
    <w:rsid w:val="00E1646E"/>
    <w:rsid w:val="00E20253"/>
    <w:rsid w:val="00E32218"/>
    <w:rsid w:val="00E35B82"/>
    <w:rsid w:val="00E36BB2"/>
    <w:rsid w:val="00E40A18"/>
    <w:rsid w:val="00E43D72"/>
    <w:rsid w:val="00E4452A"/>
    <w:rsid w:val="00E45816"/>
    <w:rsid w:val="00E54155"/>
    <w:rsid w:val="00E57B22"/>
    <w:rsid w:val="00E628A3"/>
    <w:rsid w:val="00E7176B"/>
    <w:rsid w:val="00E7587F"/>
    <w:rsid w:val="00E7613D"/>
    <w:rsid w:val="00E9045A"/>
    <w:rsid w:val="00E959A6"/>
    <w:rsid w:val="00E96103"/>
    <w:rsid w:val="00EA39B3"/>
    <w:rsid w:val="00EB0AC7"/>
    <w:rsid w:val="00EB24EE"/>
    <w:rsid w:val="00EB71BB"/>
    <w:rsid w:val="00EC063C"/>
    <w:rsid w:val="00EC2F00"/>
    <w:rsid w:val="00EC3D51"/>
    <w:rsid w:val="00EC4C27"/>
    <w:rsid w:val="00EC65A2"/>
    <w:rsid w:val="00ED0F86"/>
    <w:rsid w:val="00ED45A1"/>
    <w:rsid w:val="00ED53B2"/>
    <w:rsid w:val="00ED5BE8"/>
    <w:rsid w:val="00ED630D"/>
    <w:rsid w:val="00EE3D1E"/>
    <w:rsid w:val="00EF0F24"/>
    <w:rsid w:val="00EF1B2A"/>
    <w:rsid w:val="00EF434A"/>
    <w:rsid w:val="00EF5EB4"/>
    <w:rsid w:val="00F00D84"/>
    <w:rsid w:val="00F068A9"/>
    <w:rsid w:val="00F1044A"/>
    <w:rsid w:val="00F10AE8"/>
    <w:rsid w:val="00F14C3E"/>
    <w:rsid w:val="00F15353"/>
    <w:rsid w:val="00F15A0B"/>
    <w:rsid w:val="00F16DF8"/>
    <w:rsid w:val="00F321EF"/>
    <w:rsid w:val="00F32863"/>
    <w:rsid w:val="00F40ED1"/>
    <w:rsid w:val="00F4115B"/>
    <w:rsid w:val="00F47C50"/>
    <w:rsid w:val="00F53C3F"/>
    <w:rsid w:val="00F66551"/>
    <w:rsid w:val="00F66F82"/>
    <w:rsid w:val="00F72DB5"/>
    <w:rsid w:val="00F74592"/>
    <w:rsid w:val="00F84E5F"/>
    <w:rsid w:val="00F94395"/>
    <w:rsid w:val="00FA65F2"/>
    <w:rsid w:val="00FB0F1F"/>
    <w:rsid w:val="00FB318F"/>
    <w:rsid w:val="00FD1743"/>
    <w:rsid w:val="00FE1678"/>
    <w:rsid w:val="00FE496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A658F-C698-4E92-A921-B10260BF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1772</TotalTime>
  <Pages>4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583</cp:revision>
  <cp:lastPrinted>2021-02-04T03:50:00Z</cp:lastPrinted>
  <dcterms:created xsi:type="dcterms:W3CDTF">2018-08-06T08:55:00Z</dcterms:created>
  <dcterms:modified xsi:type="dcterms:W3CDTF">2021-02-12T07:18:00Z</dcterms:modified>
</cp:coreProperties>
</file>