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0968BD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C75A6E" w:rsidRPr="001A13BA">
        <w:rPr>
          <w:rFonts w:ascii="Times New Roman" w:hAnsi="Times New Roman"/>
          <w:b/>
          <w:sz w:val="20"/>
          <w:szCs w:val="20"/>
        </w:rPr>
        <w:t>2</w:t>
      </w:r>
      <w:r w:rsidR="000968BD" w:rsidRPr="000968BD">
        <w:rPr>
          <w:rFonts w:ascii="Times New Roman" w:hAnsi="Times New Roman"/>
          <w:b/>
          <w:sz w:val="20"/>
          <w:szCs w:val="20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5B5E6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7E309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="000968B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0968B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марта</w:t>
            </w:r>
            <w:r w:rsidR="007D0B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Pr="000968BD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0968BD" w:rsidRDefault="000968BD" w:rsidP="000968BD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13" w:type="dxa"/>
        <w:tblInd w:w="93" w:type="dxa"/>
        <w:tblLook w:val="04A0" w:firstRow="1" w:lastRow="0" w:firstColumn="1" w:lastColumn="0" w:noHBand="0" w:noVBand="1"/>
      </w:tblPr>
      <w:tblGrid>
        <w:gridCol w:w="445"/>
        <w:gridCol w:w="2048"/>
        <w:gridCol w:w="3334"/>
        <w:gridCol w:w="710"/>
        <w:gridCol w:w="1100"/>
        <w:gridCol w:w="1185"/>
        <w:gridCol w:w="1091"/>
      </w:tblGrid>
      <w:tr w:rsidR="000968BD" w:rsidRPr="000968BD" w:rsidTr="000968BD">
        <w:trPr>
          <w:trHeight w:val="76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Характеристика, форма выпуска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Цена, </w:t>
            </w:r>
            <w:proofErr w:type="spellStart"/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Сумма, </w:t>
            </w:r>
            <w:proofErr w:type="spellStart"/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тг</w:t>
            </w:r>
            <w:proofErr w:type="spellEnd"/>
            <w:r w:rsidRPr="000968B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968BD" w:rsidRPr="000968BD" w:rsidTr="000968BD">
        <w:trPr>
          <w:trHeight w:val="47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каорктации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аорты (покрытый)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Высококачественный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изготовлен из проволочной сетки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Platinum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Iridium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толщиной 0,013 дюйма, выполненной в виде зигзагообразного рисунка и покрыт гибкой расширяемой оболочкой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ePTFE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(политетрафторэтилен) . Каждое соединение подвергается лазерной спайке с добавлением золота 24К.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Нетравматичен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так как проволока не имеет квадратных краев. Регулируемая подгонка - благодаря своей способности к расширению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возможно   повторно расширять, в соответствии с естественный ростом ребенка, т.е. нет необходимости в повторной имплантации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Количество зигзагов на сегмент: 8. Доступное расширение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 12,0 мм до 24,0 мм. Длина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16, 22, 28, 34, 39 и 45 мм. Возможность выбора диаметра от 1.6 до 4.5 см с внешним диаметром баллона от 12.00 мм до 24.00 мм с длиной от 2,5 см до 5,0 см. Обязательное наличие рабочей длины 100см.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2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1 970 000,00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3 940 000   </w:t>
            </w:r>
          </w:p>
        </w:tc>
      </w:tr>
      <w:tr w:rsidR="000968BD" w:rsidRPr="000968BD" w:rsidTr="000968BD">
        <w:trPr>
          <w:trHeight w:val="651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Дилятационный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 для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ангиопластики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(Баллон в баллоне)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Дилятационный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 для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ангиопластики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состоит из двух (один в одном) баллонов. Материал баллона – термопластичный эластомер с низким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комплайнсом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материал доставляющей части – полимер. Используется для двухэтапного процесса  имплантации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стентов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Когда внутренний баллон надувается, расширение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начинается от его центра.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надежно прикреплен к баллону, чтобы обеспечить точное позиционирование перед окончательным расширением за счет накачивания внешнего баллона. Если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находится в правильном положении, внешний баллон можно раздуть, тем самым уменьшен риск асимметричного открытия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стента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его смещения.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Дилятационный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 для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ангиопластики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BIB® спроектирован так, что диаметр внутреннего баллона составляет 1/2 диаметра внешнего баллона т.е. BB010 диаметром 16 мм имеет внутренний баллон 8,0 мм. Длина внутреннего баллона на 1,0 см короче длины внешнего баллона. т. е. BB010 длиной 3 мм имеет внутренний баллон длиной 2,0 см. Каждый из двух баллонов имеет по 2 рентген-маркера. Давление для наружного баллона от 2 до 10 АТМ, давление для внутреннего баллона от 4, 5 до 5 АТМ. Диаметр внешнего баллона: 8-24 мм, длина баллона: 2,5 -5,5 см. Длина катетера 110 см.  Все баллонные катетеры BIB предназначены для использования с проводником диаметром 0.035".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3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700 000,00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2 100 000   </w:t>
            </w:r>
          </w:p>
        </w:tc>
      </w:tr>
      <w:tr w:rsidR="000968BD" w:rsidRPr="000968BD" w:rsidTr="000968BD">
        <w:trPr>
          <w:trHeight w:val="452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Клапанный кондуит легочной артерии с поддержкой и без поддержки №14.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Консервированная в специальном буферном растворе яремная бычья вена с трехстворчатым венозным клапаном. Легочный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клапансодержащий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кондуит 14 мм. Клапанный кондуит легочной артерии представляет собой укрепленную модель с наружным укреплением клапана двумя оплетенными полипропиленовыми кольцами, или представляет собой клапанный кондуит без укрепления. Клапанный кондуит легочной артерии находится в стерильном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непирогенном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растворе, в запечатанном стеклянном контейнере, с крышкой с уплотнением. Измерению подвергается внутренний диаметр кондуита. Внешний диаметр может быть больше. Как укрепленные, так и неукрепленные модели, имеют минимальную длину 10 см, что соответствует размеру 12. Кондуит может расширяться до 4 см. У неукрепленных моделей также до 4 см. Данные размеры разработаны для точного соответствия физиологическим особенностям пациента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1 200 000,00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1 200 000   </w:t>
            </w:r>
          </w:p>
        </w:tc>
      </w:tr>
      <w:tr w:rsidR="000968BD" w:rsidRPr="000968BD" w:rsidTr="000968BD">
        <w:trPr>
          <w:trHeight w:val="701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Клапанный кондуит легочной артерии с поддержкой и без поддержки №16.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Консервированная в специальном буферном растворе яремная бычья вена с трехстворчатым венозным клапаном. Легочный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клапансодержащий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кондуит 16мм. Клапанный кондуит легочной артерии представляет собой укрепленную модель с наружным укреплением клапана двумя оплетенными полипропиленовыми кольцами, или представляет собой клапанный кондуит без укрепления. Клапанный кондуит легочной артерии находится в стерильном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непирогенном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растворе, в запечатанном стеклянном контейнере, с крышкой с уплотнением. Измерению подвергается внутренний диаметр кондуита. Внешний диаметр может быть больше. Как укрепленные, так и неукрепленные модели, имеют минимальную длину 10 см, что соответствует размеру 12. Кондуит может расширяться до 4 см. У неукрепленных </w:t>
            </w: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моделей также до 4 см. Данные размеры разработаны для точного соответствия физиологическим особенностям пациента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1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1 200 000,00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1 200 000   </w:t>
            </w:r>
          </w:p>
        </w:tc>
      </w:tr>
      <w:tr w:rsidR="000968BD" w:rsidRPr="000968BD" w:rsidTr="000968BD">
        <w:trPr>
          <w:trHeight w:val="22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Заплата сердечно-сосудистая размеры: 3х6,0см; толщина: 0,4 мм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Биологическая инертность, отсутствие реакции организма на имплантацию. Изготовлены из чистого вытянутого политетрафторэтилена (е-ПТФЕ). Высокая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тромборезистентность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Возможность повторной стерилизации до трех раз газом или паром без изменения его механических или структурных свойств. Размер:  3х6,0см; толщина: 0,4мм.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85 000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85 000,00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85 000   </w:t>
            </w:r>
          </w:p>
        </w:tc>
      </w:tr>
      <w:tr w:rsidR="000968BD" w:rsidRPr="000968BD" w:rsidTr="000968BD">
        <w:trPr>
          <w:trHeight w:val="69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Электрокардиостимулятор  с принадлежностями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Программируемый имплантируемый электрокардиостимулятор с функциями автоматической адаптации параметров стимуляции (однокамерный). </w:t>
            </w: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Режимы стимуляции - VVIR, VVI, VVT, VOOR, VOO, AAIR, AAI, AAT, AOOR, AOO, OVO, OAO. Максимальная базовая частота, уд\мин – 170. Максимальная частота сенсора, уд\мин – 180. Максимальная амплитуда импульса, В – 7,5. Наличие алгоритма однокамерного гистерезиса. Наличие алгоритма стимуляции во время сна. Наличие автоматически настраиваемого профиля частотной адаптации. Наличие раздельных программируемых зон частотной адаптации для повседневной нагрузки и физических упражнений. Наличие автоматического переключения полярности стимуляции. Наличие автоматического управления порога стимуляции желудочка (амплитуда и ширина импульса). Наличие автоматической функции подстройки чувствительности. Наличие советника по подбору оптимальной программы ЭКС. Срок службы при 100% стимуляции, 60 уд\мин, 2.0 В, 1000 Ом – 8,4 года. Объем, СС – 9,7. Масса, г – 21,5. Размер,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ВхШхТ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мм - 40,2 х 42,9 х 7,5. Коннектор: IS-1 BI или UNI. ID Рентген-контрастности: PWL. Батарея: Вид: Литий-йод. Напряжение: 2.8 В. Средняя Емкость: 0,91 А/ч. Электрод биполярный имплантируемый, длиной электрода 35 см. Полярность Биполярный,</w:t>
            </w: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Локализация Желудочек или предсердие (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эпикардиально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Фиксация Подшиваемый. Материал: изоляции Силикон (4719) с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Siloxane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®.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3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500 000,00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1 500 000   </w:t>
            </w:r>
          </w:p>
        </w:tc>
      </w:tr>
      <w:tr w:rsidR="000968BD" w:rsidRPr="000968BD" w:rsidTr="000968BD">
        <w:trPr>
          <w:trHeight w:val="57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Шприцы инсулиновые одноразовые стерильные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объемом 1 мл 100IU с иглой 30Gх 1/2" со съемной иглой (не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саморазрушающиеся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12 500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11,32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141 500   </w:t>
            </w:r>
          </w:p>
        </w:tc>
      </w:tr>
      <w:tr w:rsidR="000968BD" w:rsidRPr="000968BD" w:rsidTr="000968BD">
        <w:trPr>
          <w:trHeight w:val="22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Марля медицинская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Марля медицинская отбеленная, плотность не менее 36 гр./м2. Соответствует ГОСТ 9412-93. Длина рулона не менее 1000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п.м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., ширина не менее 90 см. Марля изготовлена из пряжи 100% хлопок. Марля простого полотняного плетения 1/1, число нитей - не менее 18 нитей на квадратный см. Капиллярность не менее 10 см/ч, белизна не менее 80%. Марля намотана в рулон на картонную или пластиковую втулку.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5 000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65,00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325 000   </w:t>
            </w:r>
          </w:p>
        </w:tc>
      </w:tr>
      <w:tr w:rsidR="000968BD" w:rsidRPr="000968BD" w:rsidTr="000968BD">
        <w:trPr>
          <w:trHeight w:val="14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Кленка медицинская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Клеенка подкладная резинотканевая представляет собой хлопчатобумажную ткань покрытую резиновой смесью. Клеенка эластичная, не липкая, водонепроницаемая, светлых тонов. Клеенка стойкая к многократной дезинфекции раствором хлорамина с массовой долей 1%.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100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520,00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52 000   </w:t>
            </w:r>
          </w:p>
        </w:tc>
      </w:tr>
      <w:tr w:rsidR="000968BD" w:rsidRPr="000968BD" w:rsidTr="00FE4C2D">
        <w:trPr>
          <w:trHeight w:val="282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Аппарат Боброва / Пузырьковый увлажнитель однократного применения в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обьеме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500мл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Увлажнитель  кислородный пузырьковый с ёмкостью для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кислородотерапии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Увлажнение не менее 92%, со стандартным (Евро) М12-«гайка» соединением с расходомером, трубка распылителя длиной 17см с сетчатым диффузором, сигнальный клапан с настройкой на 4л/мин со звуковой сигнализацией, выходной пластиковый конический штуцер 6мм для подсоединения стандартного кислородного шланга, пластиковая термостойкая ёмкость для стерильной жидкости с заполнением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min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100-max 500 </w:t>
            </w: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ml</w:t>
            </w:r>
            <w:proofErr w:type="spellEnd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Материалы: поливинилхлорид, полипропилен. Упаковка: индивидуальная, клинически чистая.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50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3 482,00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174 100   </w:t>
            </w:r>
          </w:p>
        </w:tc>
      </w:tr>
      <w:tr w:rsidR="00CB43E6" w:rsidRPr="000968BD" w:rsidTr="00CB43E6">
        <w:trPr>
          <w:trHeight w:val="698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E6" w:rsidRPr="00CB43E6" w:rsidRDefault="00CB43E6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E6" w:rsidRPr="00CB43E6" w:rsidRDefault="00CB43E6" w:rsidP="00CB43E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Доставочная система 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E6" w:rsidRPr="00CB43E6" w:rsidRDefault="00CB43E6" w:rsidP="00CB43E6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Доставляющая система состоит из загрузочного устройства, доставляющего устройства, </w:t>
            </w:r>
            <w:proofErr w:type="spellStart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дилятатора</w:t>
            </w:r>
            <w:proofErr w:type="spellEnd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кабеля доставки, устройства для вращения (пластиковый зажим), </w:t>
            </w:r>
            <w:proofErr w:type="spellStart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гемостатического</w:t>
            </w:r>
            <w:proofErr w:type="spellEnd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клапана, проводника. Облегчает фиксацию, доставку и удаление </w:t>
            </w:r>
            <w:proofErr w:type="spellStart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окклюдеров</w:t>
            </w:r>
            <w:proofErr w:type="spellEnd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Внутренний просвет покрыт PTFE для уменьшения трения при проведении устройства. Пластиковое проводниковое устройство усилено плетеными стальными нитями для лучшего сопротивления на излом. Мягкий </w:t>
            </w:r>
            <w:proofErr w:type="spellStart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рентгенконтрастный</w:t>
            </w:r>
            <w:proofErr w:type="spellEnd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кончик проводникового устройства снижает риск повреждения сосудов и обеспечивает визуализацию позиционирования. Размер устройства 4-13 </w:t>
            </w:r>
            <w:proofErr w:type="spellStart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CB43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Угол изгиба 45, 90, 45х45, 180 градусов. Длина устройства 60, 80, 160, 195 см.   Направляющий проводник прилагается. Проводник изготовлен из нержавеющей стали и покрыт политетрафторэтиленом (PTFE*). Длина 260 см. Диаметр 0,035 ".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E6" w:rsidRPr="00CB43E6" w:rsidRDefault="00CB43E6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E6" w:rsidRPr="000968BD" w:rsidRDefault="00CB43E6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E6" w:rsidRPr="000968BD" w:rsidRDefault="00CB43E6" w:rsidP="000968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E6" w:rsidRPr="000968BD" w:rsidRDefault="00CB43E6" w:rsidP="000968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1800000</w:t>
            </w:r>
          </w:p>
        </w:tc>
      </w:tr>
      <w:tr w:rsidR="000968BD" w:rsidRPr="000968BD" w:rsidTr="000968BD">
        <w:trPr>
          <w:trHeight w:val="2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8BD" w:rsidRPr="000968BD" w:rsidRDefault="000968BD" w:rsidP="000968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3E6" w:rsidRDefault="00CB43E6" w:rsidP="00CB4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12517600,00</w:t>
            </w:r>
          </w:p>
          <w:p w:rsidR="000968BD" w:rsidRPr="000968BD" w:rsidRDefault="000968BD" w:rsidP="00CB4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968B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7475BB" w:rsidRPr="00653277" w:rsidRDefault="007475BB" w:rsidP="007475BB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A012C" w:rsidRPr="003B44E5" w:rsidRDefault="005A012C" w:rsidP="007475BB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0968BD" w:rsidRDefault="000968BD" w:rsidP="001870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ИП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«Нам»</w:t>
            </w:r>
          </w:p>
        </w:tc>
        <w:tc>
          <w:tcPr>
            <w:tcW w:w="4394" w:type="dxa"/>
            <w:vAlign w:val="center"/>
          </w:tcPr>
          <w:p w:rsidR="00295DD4" w:rsidRPr="000968BD" w:rsidRDefault="000968BD" w:rsidP="008C7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28.02.2019г. 16:30</w:t>
            </w:r>
          </w:p>
        </w:tc>
      </w:tr>
      <w:tr w:rsidR="008C7E5E" w:rsidRPr="00CE3783" w:rsidTr="00B87262">
        <w:trPr>
          <w:trHeight w:val="257"/>
        </w:trPr>
        <w:tc>
          <w:tcPr>
            <w:tcW w:w="675" w:type="dxa"/>
            <w:vAlign w:val="center"/>
          </w:tcPr>
          <w:p w:rsidR="008C7E5E" w:rsidRPr="008C7E5E" w:rsidRDefault="008C7E5E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8C7E5E" w:rsidRPr="008C7E5E" w:rsidRDefault="000968BD" w:rsidP="001870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Pharmprovide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8C7E5E" w:rsidRPr="000968BD" w:rsidRDefault="000968BD" w:rsidP="008C7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968B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01.03.2019г.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12:05</w:t>
            </w:r>
          </w:p>
        </w:tc>
      </w:tr>
      <w:tr w:rsidR="008C7E5E" w:rsidRPr="00CE3783" w:rsidTr="00B87262">
        <w:trPr>
          <w:trHeight w:val="257"/>
        </w:trPr>
        <w:tc>
          <w:tcPr>
            <w:tcW w:w="675" w:type="dxa"/>
            <w:vAlign w:val="center"/>
          </w:tcPr>
          <w:p w:rsidR="008C7E5E" w:rsidRPr="00CE3783" w:rsidRDefault="008C7E5E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8C7E5E" w:rsidRPr="000968BD" w:rsidRDefault="000968BD" w:rsidP="001870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Anirise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8C7E5E" w:rsidRPr="000968BD" w:rsidRDefault="000968BD" w:rsidP="008C7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</w:t>
            </w:r>
            <w:r w:rsidRPr="000968B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.03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.2019г. 13:33</w:t>
            </w:r>
          </w:p>
        </w:tc>
      </w:tr>
      <w:tr w:rsidR="008C7E5E" w:rsidRPr="00CE3783" w:rsidTr="00B87262">
        <w:trPr>
          <w:trHeight w:val="257"/>
        </w:trPr>
        <w:tc>
          <w:tcPr>
            <w:tcW w:w="675" w:type="dxa"/>
            <w:vAlign w:val="center"/>
          </w:tcPr>
          <w:p w:rsidR="008C7E5E" w:rsidRPr="00CE3783" w:rsidRDefault="008C7E5E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8C7E5E" w:rsidRPr="008C7E5E" w:rsidRDefault="000968BD" w:rsidP="0018702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Dana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Estrella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8C7E5E" w:rsidRPr="000968BD" w:rsidRDefault="000968BD" w:rsidP="00FE4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968B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01.03.2019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г. </w:t>
            </w:r>
            <w:r w:rsidR="00FE4C2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16:30</w:t>
            </w:r>
          </w:p>
        </w:tc>
      </w:tr>
      <w:tr w:rsidR="006021E2" w:rsidRPr="00CE3783" w:rsidTr="00B87262">
        <w:trPr>
          <w:trHeight w:val="277"/>
        </w:trPr>
        <w:tc>
          <w:tcPr>
            <w:tcW w:w="675" w:type="dxa"/>
            <w:vAlign w:val="center"/>
          </w:tcPr>
          <w:p w:rsidR="006021E2" w:rsidRPr="00CE3783" w:rsidRDefault="00FE4C2D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6021E2" w:rsidRPr="00FE4C2D" w:rsidRDefault="00FE4C2D" w:rsidP="001870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Dives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vAlign w:val="center"/>
          </w:tcPr>
          <w:p w:rsidR="006021E2" w:rsidRPr="00FE4C2D" w:rsidRDefault="00FE4C2D" w:rsidP="001870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01.03.2019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16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:35</w:t>
            </w:r>
          </w:p>
        </w:tc>
      </w:tr>
      <w:tr w:rsidR="00FE4C2D" w:rsidRPr="00CE3783" w:rsidTr="00B87262">
        <w:trPr>
          <w:trHeight w:val="277"/>
        </w:trPr>
        <w:tc>
          <w:tcPr>
            <w:tcW w:w="675" w:type="dxa"/>
            <w:vAlign w:val="center"/>
          </w:tcPr>
          <w:p w:rsidR="00FE4C2D" w:rsidRDefault="00FE4C2D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FE4C2D" w:rsidRDefault="00FE4C2D" w:rsidP="001870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«Мерусар и К»</w:t>
            </w:r>
          </w:p>
        </w:tc>
        <w:tc>
          <w:tcPr>
            <w:tcW w:w="4394" w:type="dxa"/>
            <w:vAlign w:val="center"/>
          </w:tcPr>
          <w:p w:rsidR="00FE4C2D" w:rsidRPr="00FE4C2D" w:rsidRDefault="00FE4C2D" w:rsidP="001870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01.03.2019г.  09:00</w:t>
            </w:r>
          </w:p>
        </w:tc>
      </w:tr>
      <w:tr w:rsidR="00FE4C2D" w:rsidRPr="00CE3783" w:rsidTr="00B87262">
        <w:trPr>
          <w:trHeight w:val="277"/>
        </w:trPr>
        <w:tc>
          <w:tcPr>
            <w:tcW w:w="675" w:type="dxa"/>
            <w:vAlign w:val="center"/>
          </w:tcPr>
          <w:p w:rsidR="00FE4C2D" w:rsidRPr="00CE3783" w:rsidRDefault="00FE4C2D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FE4C2D" w:rsidRPr="00FE4C2D" w:rsidRDefault="00FE4C2D" w:rsidP="0018702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Atlant</w:t>
            </w:r>
            <w:proofErr w:type="spellEnd"/>
            <w:r w:rsidRPr="00FE4C2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MT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FE4C2D" w:rsidRPr="00FE4C2D" w:rsidRDefault="00FE4C2D" w:rsidP="0018702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04.03.2019г. 09:00</w:t>
            </w:r>
          </w:p>
        </w:tc>
      </w:tr>
      <w:tr w:rsidR="00CB43E6" w:rsidRPr="00CE3783" w:rsidTr="00B87262">
        <w:trPr>
          <w:trHeight w:val="277"/>
        </w:trPr>
        <w:tc>
          <w:tcPr>
            <w:tcW w:w="675" w:type="dxa"/>
            <w:vAlign w:val="center"/>
          </w:tcPr>
          <w:p w:rsidR="00CB43E6" w:rsidRDefault="00CB43E6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CB43E6" w:rsidRPr="00FE4C2D" w:rsidRDefault="00CB43E6" w:rsidP="00CB43E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Фирма Меда»</w:t>
            </w:r>
          </w:p>
        </w:tc>
        <w:tc>
          <w:tcPr>
            <w:tcW w:w="4394" w:type="dxa"/>
            <w:vAlign w:val="center"/>
          </w:tcPr>
          <w:p w:rsidR="00CB43E6" w:rsidRPr="00FE4C2D" w:rsidRDefault="00CB43E6" w:rsidP="00CB43E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04.03.2019г. 09:15</w:t>
            </w:r>
          </w:p>
        </w:tc>
      </w:tr>
    </w:tbl>
    <w:p w:rsidR="008C7E5E" w:rsidRP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DD7034"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DD7034" w:rsidRPr="00DD7034" w:rsidTr="00096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8C7E5E" w:rsidRDefault="00FE4C2D" w:rsidP="00DD703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FE4C2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proofErr w:type="spellStart"/>
            <w:r w:rsidRPr="00FE4C2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Atlant</w:t>
            </w:r>
            <w:proofErr w:type="spellEnd"/>
            <w:r w:rsidRPr="00FE4C2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MT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FE4C2D" w:rsidP="00A503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Астана,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ул.Б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Майлина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д.4/1, офис 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FE4C2D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E4C2D">
              <w:rPr>
                <w:rFonts w:ascii="Times New Roman" w:hAnsi="Times New Roman"/>
                <w:sz w:val="18"/>
                <w:szCs w:val="20"/>
              </w:rPr>
              <w:t>1970000</w:t>
            </w:r>
            <w:r>
              <w:rPr>
                <w:rFonts w:ascii="Times New Roman" w:hAnsi="Times New Roman"/>
                <w:sz w:val="18"/>
                <w:szCs w:val="20"/>
              </w:rPr>
              <w:t>,00</w:t>
            </w:r>
          </w:p>
        </w:tc>
      </w:tr>
      <w:tr w:rsidR="00DD7034" w:rsidRPr="00DD7034" w:rsidTr="00096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8C7E5E" w:rsidRDefault="00FB68C9" w:rsidP="00DD70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8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FB68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Dana</w:t>
            </w:r>
            <w:proofErr w:type="spellEnd"/>
            <w:r w:rsidRPr="00FB68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68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Estrella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FB68C9" w:rsidP="00A503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г. Алматы, ул. Гоголя, 89 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FB68C9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1150000,00</w:t>
            </w:r>
          </w:p>
        </w:tc>
      </w:tr>
      <w:tr w:rsidR="00DD7034" w:rsidRPr="00DD7034" w:rsidTr="00096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8C7E5E" w:rsidRDefault="00FB68C9" w:rsidP="00DD70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Pharmprovide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FB68C9" w:rsidP="00A503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 Парижской Коммуны, д.46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7034" w:rsidRPr="00DD7034" w:rsidRDefault="00FB68C9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320000,00</w:t>
            </w:r>
          </w:p>
        </w:tc>
      </w:tr>
      <w:tr w:rsidR="00DD7034" w:rsidRPr="005C6599" w:rsidTr="00DD703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3D0715" w:rsidRDefault="00DD7034" w:rsidP="00DD7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8C7E5E" w:rsidRDefault="00FB68C9" w:rsidP="00DD70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8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FB68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Мерусар</w:t>
            </w:r>
            <w:proofErr w:type="spellEnd"/>
            <w:r w:rsidRPr="00FB68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 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187027" w:rsidRDefault="00FB68C9" w:rsidP="00A503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г. Павлодар, ул. Чайковского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034" w:rsidRPr="00DD7034" w:rsidRDefault="00FB68C9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51900,00</w:t>
            </w:r>
          </w:p>
        </w:tc>
      </w:tr>
      <w:tr w:rsidR="00FB68C9" w:rsidRPr="005C6599" w:rsidTr="00DD703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C9" w:rsidRDefault="00FB68C9" w:rsidP="00DD7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C9" w:rsidRPr="00FB68C9" w:rsidRDefault="00FB68C9" w:rsidP="00DD703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68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ИП Нам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C9" w:rsidRPr="00187027" w:rsidRDefault="00A52167" w:rsidP="00A5031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Кунаева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21Б, офис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8C9" w:rsidRPr="00DD7034" w:rsidRDefault="00A52167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124400,00</w:t>
            </w:r>
          </w:p>
        </w:tc>
      </w:tr>
      <w:tr w:rsidR="003B6A4C" w:rsidRPr="005C6599" w:rsidTr="00DD7034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4C" w:rsidRDefault="003B6A4C" w:rsidP="00DD703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4C" w:rsidRPr="00FB68C9" w:rsidRDefault="003B6A4C" w:rsidP="003B64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«Фирма Меда»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4C" w:rsidRPr="00187027" w:rsidRDefault="003B6A4C" w:rsidP="003B6A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Алматы,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Сайран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4C" w:rsidRPr="00DD7034" w:rsidRDefault="003B6A4C" w:rsidP="003B64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20"/>
              </w:rPr>
              <w:t>800 000</w:t>
            </w:r>
            <w:r>
              <w:rPr>
                <w:rFonts w:ascii="Times New Roman" w:hAnsi="Times New Roman"/>
                <w:sz w:val="18"/>
                <w:szCs w:val="20"/>
              </w:rPr>
              <w:t>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18702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75A6E" w:rsidRPr="00187027">
        <w:rPr>
          <w:rFonts w:ascii="Times New Roman" w:eastAsia="Times New Roman" w:hAnsi="Times New Roman"/>
          <w:b/>
          <w:szCs w:val="24"/>
          <w:lang w:eastAsia="ru-RU"/>
        </w:rPr>
        <w:t>2</w:t>
      </w:r>
      <w:r w:rsidR="00FE4C2D">
        <w:rPr>
          <w:rFonts w:ascii="Times New Roman" w:eastAsia="Times New Roman" w:hAnsi="Times New Roman"/>
          <w:b/>
          <w:szCs w:val="24"/>
          <w:lang w:eastAsia="ru-RU"/>
        </w:rPr>
        <w:t>6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E6" w:rsidRDefault="00CB43E6">
      <w:pPr>
        <w:spacing w:after="0" w:line="240" w:lineRule="auto"/>
      </w:pPr>
      <w:r>
        <w:separator/>
      </w:r>
    </w:p>
  </w:endnote>
  <w:endnote w:type="continuationSeparator" w:id="0">
    <w:p w:rsidR="00CB43E6" w:rsidRDefault="00CB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3E6" w:rsidRDefault="00CB43E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A4C">
      <w:rPr>
        <w:noProof/>
      </w:rPr>
      <w:t>3</w:t>
    </w:r>
    <w:r>
      <w:rPr>
        <w:noProof/>
      </w:rPr>
      <w:fldChar w:fldCharType="end"/>
    </w:r>
  </w:p>
  <w:p w:rsidR="00CB43E6" w:rsidRDefault="00CB43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E6" w:rsidRDefault="00CB43E6">
      <w:pPr>
        <w:spacing w:after="0" w:line="240" w:lineRule="auto"/>
      </w:pPr>
      <w:r>
        <w:separator/>
      </w:r>
    </w:p>
  </w:footnote>
  <w:footnote w:type="continuationSeparator" w:id="0">
    <w:p w:rsidR="00CB43E6" w:rsidRDefault="00CB4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1F761A2"/>
    <w:multiLevelType w:val="hybridMultilevel"/>
    <w:tmpl w:val="360AABCA"/>
    <w:lvl w:ilvl="0" w:tplc="2A9044E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968BD"/>
    <w:rsid w:val="000A0AB1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6A4C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52167"/>
    <w:rsid w:val="00A63826"/>
    <w:rsid w:val="00A662B8"/>
    <w:rsid w:val="00A66694"/>
    <w:rsid w:val="00A73356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43E6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B68C9"/>
    <w:rsid w:val="00FE1678"/>
    <w:rsid w:val="00FE4C2D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E0AB-9720-42DF-966B-E03CC68D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97</cp:revision>
  <cp:lastPrinted>2019-02-19T09:18:00Z</cp:lastPrinted>
  <dcterms:created xsi:type="dcterms:W3CDTF">2018-08-06T08:55:00Z</dcterms:created>
  <dcterms:modified xsi:type="dcterms:W3CDTF">2019-03-06T07:56:00Z</dcterms:modified>
</cp:coreProperties>
</file>