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26A3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526A35">
        <w:rPr>
          <w:rFonts w:ascii="Times New Roman" w:hAnsi="Times New Roman"/>
          <w:b/>
          <w:sz w:val="20"/>
          <w:szCs w:val="20"/>
          <w:lang w:val="en-US"/>
        </w:rPr>
        <w:t>8</w:t>
      </w:r>
      <w:r w:rsidR="00526A35">
        <w:rPr>
          <w:rFonts w:ascii="Times New Roman" w:hAnsi="Times New Roman"/>
          <w:b/>
          <w:sz w:val="20"/>
          <w:szCs w:val="20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2D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52DE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26A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552DE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ноября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807A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Look w:val="04A0"/>
      </w:tblPr>
      <w:tblGrid>
        <w:gridCol w:w="439"/>
        <w:gridCol w:w="1417"/>
        <w:gridCol w:w="4536"/>
        <w:gridCol w:w="710"/>
        <w:gridCol w:w="849"/>
        <w:gridCol w:w="993"/>
        <w:gridCol w:w="1275"/>
      </w:tblGrid>
      <w:tr w:rsidR="00526A35" w:rsidRPr="00526A35" w:rsidTr="00526A35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Характеристика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Ед</w:t>
            </w:r>
            <w:proofErr w:type="gramStart"/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.и</w:t>
            </w:r>
            <w:proofErr w:type="gramEnd"/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-</w:t>
            </w:r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сумма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Аппарат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сшивающий линейный с регулируемой высотой закрытия скобок (55 мм)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Линейный сшивающий аппарат 55мм с регулируемой высотой закрытия скобок Линейный сшивающий аппарат 55 мм с функцией регулирования высоты закрытия скобок для работы с нормальными, утолщенными и толстыми тканями. 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Аппарат состоит из опорной и кассетной половин, замыкающихся при помощи запирающего рычага.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Наличие 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механизма регулирования высоты закрытия скобок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 3 вариантами высоты закрытия – для тканей нормальной толщины, утолщенных и толстых тканей. Наличие маркировки, соответствующей каждому варианту высоты закрытия скобок. На одной из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браншей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имеется метрическая шкала, с шагом деления 5 мм, а также индикаторы дистального края разреза и проксимального края корректного размещения тканей. 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 опорной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бранше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имеются лунки для формирования закрытых скобок,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конкордантные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скобкам в сменной кассете по количеству и расположению.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Форма каждой лунки должна обеспечивать трехмерную форму закрытия скобок для формирования равномерной компрессии тканей между ножками закрытых скобок. 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 дистальном конце опорной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бранши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расположен выступ для формирования зазора между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браншами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соответствующего необходимой высоте закрытия скобок, а также препятствующий выскальзыванию тканей из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браншей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при прошивании.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 кассетной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бранше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имеются пазы для корректной установки кассеты.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Обе половины аппарата имеют опорные плечики для надежного удерживания аппарата при прошивании. Наличие рычага для выравнивания и замыкания половин аппарата. Рычаг прошивания перекидной, для обеспечения возможности прошивания аппаратом с обеих сторон. На проксимальных половинах аппарата имеются индикаторы места установки рычага прошивания в деактивированном положении. Обе половины аппарата и рычаг прошивания имеют противоскользящее покрытие. Наличие фиксирующегося промежуточного положения закрытия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браншей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их точной репозиции на ткани, равномерной ее компрессии и предотвращения ее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сборивания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Дистальный край прошиванию превышает линию разреза не менее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чем на 1,5 скобки в зависимости от толщины ткани. Аппарат может быть перезаряжен 12 раз универсальными кассетами для аппаратов 55 мм. 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Предназначен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использования у одного пациента. Не подлежит повторной стерилизации. Поставляется незаряженным, стерильным.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109 095,00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109 095,00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Скальпель №10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скальпель цельный – нержавеющая сталь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65 000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Скальпель №11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скальпель цельный – нержавеющая сталь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104 000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Скальпель №15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скальпель цельный – нержавеющая сталь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117 000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Артериальный катетер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Сельдингер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Артериальный катетер по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Сельдингеру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материал катетера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рентгенконтрастный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полиуретан диаметр 24 G, длина 5  см; В наборе проводник, игла, прозрачная удлинительная линия с зажимом, колпачок.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Набор реагентов гепатит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для выявления РНК вируса гепатита C (HCV) в клиническом материале методом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 (ПЦР) с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гибридизационно-флуоресцентной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детекцией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"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АмплиСенс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® HCV-FL" (V1-FEP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АмплиСенс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HCV-FL). В комплекте с набором для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пробоподготовки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Номер по каталогу: V1-FEP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Количество тестов: 112 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Метод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детекции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: FEP 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Комплектация: Комплект только для одного этапа анализа 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Фасовка: Флаконы с реагентами,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Taq-F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полимераза 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Форма: вариант FEP, 100F,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ПЦР-комплект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471 000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РИБО-преп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реакции. Количество тестов: 100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Комплектация: Комплект только для одного этапа анализа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Фасовка: Флаконы с реагентами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Форма: Вариант 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156 000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Набор реагентов ЦМВ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цитомегаловируса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человека (CMV) методом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Flash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 копий/мл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446 500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Набор реагентов ВПГ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для выявления ДНК вируса простого герпеса человека 1, 2 типов (HSV 1, 2) методом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Flash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1000 копий/мл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446 500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Кандида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кандиды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альбиканс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Candida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albicans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) методом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реакции, в режиме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Flash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2000 копий/мл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92 000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Хламидии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Хламидии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трахоматис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Chlamydia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trachomatis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) методом ПЦР, в режиме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Flash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Формат пробирок 0,5 мл. Аналитические характеристики: аналитическая чувствительность 2000 копий/мл, набор 100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92 000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Микоплазма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пневм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Mycoplasma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Chlamydophila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 биологическом материале методом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 (ПЦР) с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гибридизационно-флуоресцентной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детекцией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Mycoplasma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/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Chlamydophila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-FL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ПЦР-пробирки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Форма: Формат FEP, 50R, пробирки 0,5, ПЦ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Р-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комплект, 55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364 000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Хламидии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пневм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для выявления ДНК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Mycoplasma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Chlamydophila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 биологическом материале методом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 (ПЦР) с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гибридизационно-флуоресцентной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детекцией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Mycoplasma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/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Chlamydophila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pneumoniae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-FL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ПЦР-пробирки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Форма: Формат FEP, 50R, пробирки 0,5, ПЦ</w:t>
            </w:r>
            <w:proofErr w:type="gram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Р-</w:t>
            </w:r>
            <w:proofErr w:type="gram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комплект, 55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364 000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Проба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Amplisens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полимеразной</w:t>
            </w:r>
            <w:proofErr w:type="spellEnd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цепной реакции. Количество тестов: 100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Комплектация: Комплект только для одного этапа анализа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Фасовка: Флаконы с реагентами</w:t>
            </w: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Форма: Вариант 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5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150 000</w:t>
            </w:r>
          </w:p>
        </w:tc>
      </w:tr>
      <w:tr w:rsidR="00526A35" w:rsidRPr="00526A35" w:rsidTr="00526A35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35" w:rsidRPr="00526A35" w:rsidRDefault="00526A35" w:rsidP="00526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526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3 477 095</w:t>
            </w:r>
          </w:p>
        </w:tc>
      </w:tr>
    </w:tbl>
    <w:p w:rsidR="004807A6" w:rsidRDefault="004807A6" w:rsidP="00526A35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F5EB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526A35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926BC8" w:rsidRPr="00C75312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           24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F321EF" w:rsidRPr="00CE3783" w:rsidTr="00CE3783">
        <w:tc>
          <w:tcPr>
            <w:tcW w:w="675" w:type="dxa"/>
          </w:tcPr>
          <w:p w:rsidR="00F321EF" w:rsidRPr="00F321EF" w:rsidRDefault="00F321E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F321EF" w:rsidRPr="00526A35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Asterafarm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F321EF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           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.10.2019 г.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F321E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46 </w:t>
            </w:r>
            <w:r w:rsidR="00F321E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</w:t>
            </w:r>
          </w:p>
        </w:tc>
      </w:tr>
      <w:tr w:rsidR="008E4297" w:rsidRPr="00CE3783" w:rsidTr="00CE3783">
        <w:tc>
          <w:tcPr>
            <w:tcW w:w="675" w:type="dxa"/>
          </w:tcPr>
          <w:p w:rsidR="008E4297" w:rsidRPr="008E4297" w:rsidRDefault="008E4297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E4297" w:rsidRPr="00526A35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Fin Shark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8E4297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           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.10.2019 г.     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49 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526A35" w:rsidRPr="00CE3783" w:rsidTr="00CE3783">
        <w:tc>
          <w:tcPr>
            <w:tcW w:w="675" w:type="dxa"/>
          </w:tcPr>
          <w:p w:rsidR="00526A35" w:rsidRDefault="00526A35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526A35" w:rsidRPr="008E4297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Альфатим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526A35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           29.10.2019 г.         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/у</w:t>
            </w:r>
          </w:p>
        </w:tc>
      </w:tr>
      <w:tr w:rsidR="00526A35" w:rsidRPr="00CE3783" w:rsidTr="00CE3783">
        <w:tc>
          <w:tcPr>
            <w:tcW w:w="675" w:type="dxa"/>
          </w:tcPr>
          <w:p w:rsidR="00526A35" w:rsidRDefault="00526A35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526A35" w:rsidRPr="008E4297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Вельд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526A35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t xml:space="preserve">           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29.10.2019 г.          10:25 ч.</w:t>
            </w:r>
          </w:p>
        </w:tc>
      </w:tr>
      <w:tr w:rsidR="00526A35" w:rsidRPr="00CE3783" w:rsidTr="00CE3783">
        <w:tc>
          <w:tcPr>
            <w:tcW w:w="675" w:type="dxa"/>
          </w:tcPr>
          <w:p w:rsidR="00526A35" w:rsidRDefault="00526A35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526A35" w:rsidRPr="008E4297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ДиоГен</w:t>
            </w:r>
            <w:proofErr w:type="spellEnd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526A35" w:rsidRDefault="00526A35" w:rsidP="00526A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           30.10.2019 г.          10:45 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526A35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526A35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ДиоГен</w:t>
            </w:r>
            <w:proofErr w:type="spellEnd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Системс</w:t>
            </w:r>
            <w:proofErr w:type="spellEnd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526A35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Масютина А.П.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9B7BA4" w:rsidRDefault="00526A35" w:rsidP="008E42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Fin Shark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857A71" w:rsidRDefault="002B37E7" w:rsidP="00A04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 ул.Грановского,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74885" w:rsidRDefault="00342EF4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189 200,00</w:t>
            </w:r>
          </w:p>
        </w:tc>
      </w:tr>
      <w:tr w:rsidR="00526A35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35" w:rsidRPr="00CE3783" w:rsidRDefault="00526A3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9B7BA4" w:rsidRDefault="00526A35" w:rsidP="008E42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Альфатим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857A71" w:rsidRDefault="002B37E7" w:rsidP="00A04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г.Астана, ул.Жансугурова, 8/1, оф.101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374885" w:rsidRDefault="00342EF4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EF4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2EF4"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6A35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35" w:rsidRPr="00CE3783" w:rsidRDefault="00526A3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9B7BA4" w:rsidRDefault="00526A35" w:rsidP="008E42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Вельд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857A71" w:rsidRDefault="002B37E7" w:rsidP="00A04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="00526A35">
              <w:rPr>
                <w:rFonts w:ascii="Times New Roman" w:hAnsi="Times New Roman"/>
                <w:sz w:val="20"/>
                <w:szCs w:val="20"/>
                <w:lang w:val="kk-KZ"/>
              </w:rPr>
              <w:t>.Алматы, ул.Масанчи, 23, корпус 2, н.п.1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374885" w:rsidRDefault="00342EF4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106 200,00</w:t>
            </w:r>
          </w:p>
        </w:tc>
      </w:tr>
      <w:tr w:rsidR="00526A35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35" w:rsidRDefault="00526A3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BB2995" w:rsidRDefault="00526A35" w:rsidP="008E42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ДиоГен</w:t>
            </w:r>
            <w:proofErr w:type="spellEnd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9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Системс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857A71" w:rsidRDefault="002B37E7" w:rsidP="00A04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="00526A35">
              <w:rPr>
                <w:rFonts w:ascii="Times New Roman" w:hAnsi="Times New Roman"/>
                <w:sz w:val="20"/>
                <w:szCs w:val="20"/>
                <w:lang w:val="kk-KZ"/>
              </w:rPr>
              <w:t>.Алматы, ул.Радостовца, д.158/1,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35" w:rsidRPr="00374885" w:rsidRDefault="00342EF4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2 039 300,00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526A35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EF5EB4">
        <w:rPr>
          <w:rFonts w:ascii="Times New Roman" w:eastAsia="Times New Roman" w:hAnsi="Times New Roman"/>
          <w:b/>
          <w:szCs w:val="24"/>
          <w:lang w:val="en-US" w:eastAsia="ru-RU"/>
        </w:rPr>
        <w:t>8</w:t>
      </w:r>
      <w:bookmarkStart w:id="0" w:name="_GoBack"/>
      <w:bookmarkEnd w:id="0"/>
      <w:r w:rsidR="00526A35">
        <w:rPr>
          <w:rFonts w:ascii="Times New Roman" w:eastAsia="Times New Roman" w:hAnsi="Times New Roman"/>
          <w:b/>
          <w:szCs w:val="24"/>
          <w:lang w:eastAsia="ru-RU"/>
        </w:rPr>
        <w:t>3</w:t>
      </w:r>
    </w:p>
    <w:sectPr w:rsidR="00CE3783" w:rsidRPr="00526A35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E7" w:rsidRDefault="002B37E7">
      <w:pPr>
        <w:spacing w:after="0" w:line="240" w:lineRule="auto"/>
      </w:pPr>
      <w:r>
        <w:separator/>
      </w:r>
    </w:p>
  </w:endnote>
  <w:endnote w:type="continuationSeparator" w:id="1">
    <w:p w:rsidR="002B37E7" w:rsidRDefault="002B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E7" w:rsidRDefault="002B37E7">
    <w:pPr>
      <w:pStyle w:val="a5"/>
      <w:jc w:val="center"/>
    </w:pPr>
    <w:fldSimple w:instr=" PAGE   \* MERGEFORMAT ">
      <w:r w:rsidR="00552DE7">
        <w:rPr>
          <w:noProof/>
        </w:rPr>
        <w:t>1</w:t>
      </w:r>
    </w:fldSimple>
  </w:p>
  <w:p w:rsidR="002B37E7" w:rsidRDefault="002B3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E7" w:rsidRDefault="002B37E7">
      <w:pPr>
        <w:spacing w:after="0" w:line="240" w:lineRule="auto"/>
      </w:pPr>
      <w:r>
        <w:separator/>
      </w:r>
    </w:p>
  </w:footnote>
  <w:footnote w:type="continuationSeparator" w:id="1">
    <w:p w:rsidR="002B37E7" w:rsidRDefault="002B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37E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EF4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A35"/>
    <w:rsid w:val="00526F04"/>
    <w:rsid w:val="00527F00"/>
    <w:rsid w:val="00530564"/>
    <w:rsid w:val="0053755D"/>
    <w:rsid w:val="0055102C"/>
    <w:rsid w:val="00551F94"/>
    <w:rsid w:val="00552DE7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2ACC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E022-23D7-4767-A88D-7A9C8F1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2019-09-04T03:02:00Z</cp:lastPrinted>
  <dcterms:created xsi:type="dcterms:W3CDTF">2018-08-06T08:55:00Z</dcterms:created>
  <dcterms:modified xsi:type="dcterms:W3CDTF">2019-11-12T11:54:00Z</dcterms:modified>
</cp:coreProperties>
</file>