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24" w:rsidRDefault="00FA0924"/>
    <w:p w:rsidR="00FA0924" w:rsidRDefault="00FA0924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24">
        <w:rPr>
          <w:rFonts w:ascii="Times New Roman" w:hAnsi="Times New Roman" w:cs="Times New Roman"/>
          <w:b/>
          <w:sz w:val="24"/>
          <w:szCs w:val="24"/>
        </w:rPr>
        <w:t>ПОВЕ</w:t>
      </w:r>
      <w:r w:rsidR="009B089E">
        <w:rPr>
          <w:rFonts w:ascii="Times New Roman" w:hAnsi="Times New Roman" w:cs="Times New Roman"/>
          <w:b/>
          <w:sz w:val="24"/>
          <w:szCs w:val="24"/>
        </w:rPr>
        <w:t>СТКА И ПРОТОКОЛ ЗАСЕДАНИЯ ЛЭК №</w:t>
      </w:r>
      <w:r w:rsidR="00464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EFC">
        <w:rPr>
          <w:rFonts w:ascii="Times New Roman" w:hAnsi="Times New Roman" w:cs="Times New Roman"/>
          <w:b/>
          <w:sz w:val="24"/>
          <w:szCs w:val="24"/>
        </w:rPr>
        <w:t>2</w:t>
      </w:r>
      <w:r w:rsidRPr="00FA0924">
        <w:rPr>
          <w:rFonts w:ascii="Times New Roman" w:hAnsi="Times New Roman" w:cs="Times New Roman"/>
          <w:b/>
          <w:sz w:val="24"/>
          <w:szCs w:val="24"/>
        </w:rPr>
        <w:t>/20</w:t>
      </w:r>
      <w:r w:rsidR="00141FFD">
        <w:rPr>
          <w:rFonts w:ascii="Times New Roman" w:hAnsi="Times New Roman" w:cs="Times New Roman"/>
          <w:b/>
          <w:sz w:val="24"/>
          <w:szCs w:val="24"/>
        </w:rPr>
        <w:t>20</w:t>
      </w:r>
    </w:p>
    <w:p w:rsidR="00FA0924" w:rsidRDefault="00FA0924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A0924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141FF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CE0EFC">
        <w:rPr>
          <w:rFonts w:ascii="Times New Roman" w:hAnsi="Times New Roman" w:cs="Times New Roman"/>
          <w:sz w:val="24"/>
          <w:szCs w:val="24"/>
        </w:rPr>
        <w:t>мая</w:t>
      </w:r>
      <w:r w:rsidR="00141FFD">
        <w:rPr>
          <w:rFonts w:ascii="Times New Roman" w:hAnsi="Times New Roman" w:cs="Times New Roman"/>
          <w:sz w:val="24"/>
          <w:szCs w:val="24"/>
        </w:rPr>
        <w:t>_ 2020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15.00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FA0924" w:rsidRDefault="00647545" w:rsidP="007314BC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EEF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3604" w:rsidRDefault="00446DCE" w:rsidP="007314BC">
      <w:pPr>
        <w:pStyle w:val="aa"/>
        <w:contextualSpacing/>
        <w:jc w:val="both"/>
        <w:rPr>
          <w:color w:val="000000"/>
        </w:rPr>
      </w:pPr>
      <w:r w:rsidRPr="001233DD">
        <w:rPr>
          <w:b/>
        </w:rPr>
        <w:t>1.</w:t>
      </w:r>
      <w:r w:rsidR="00E95F5A" w:rsidRPr="001233DD">
        <w:rPr>
          <w:b/>
        </w:rPr>
        <w:t xml:space="preserve"> </w:t>
      </w:r>
      <w:r w:rsidR="00141FFD">
        <w:t>Рассмотрен</w:t>
      </w:r>
      <w:r w:rsidR="000124F9">
        <w:t xml:space="preserve">ие </w:t>
      </w:r>
      <w:r w:rsidR="000124F9">
        <w:t>этических вопросов</w:t>
      </w:r>
      <w:r w:rsidR="000124F9">
        <w:t xml:space="preserve"> на </w:t>
      </w:r>
      <w:r w:rsidR="000124F9" w:rsidRPr="000124F9">
        <w:t xml:space="preserve">выполнение научно-исследовательской работы на тему: «Дизайн комплекса прогностических маркеров с целью оптимизации </w:t>
      </w:r>
      <w:proofErr w:type="spellStart"/>
      <w:r w:rsidR="000124F9" w:rsidRPr="000124F9">
        <w:t>иммунофенотипической</w:t>
      </w:r>
      <w:proofErr w:type="spellEnd"/>
      <w:r w:rsidR="000124F9" w:rsidRPr="000124F9">
        <w:t xml:space="preserve"> диагностики острых лейкозов у детей», </w:t>
      </w:r>
      <w:proofErr w:type="gramStart"/>
      <w:r w:rsidR="000124F9" w:rsidRPr="000124F9">
        <w:rPr>
          <w:color w:val="000000"/>
        </w:rPr>
        <w:t>пла</w:t>
      </w:r>
      <w:r w:rsidR="000124F9">
        <w:rPr>
          <w:color w:val="000000"/>
        </w:rPr>
        <w:t>нируемую</w:t>
      </w:r>
      <w:proofErr w:type="gramEnd"/>
      <w:r w:rsidR="000124F9">
        <w:rPr>
          <w:color w:val="000000"/>
        </w:rPr>
        <w:t xml:space="preserve"> к выполнению в рамках «</w:t>
      </w:r>
      <w:proofErr w:type="spellStart"/>
      <w:r w:rsidR="000124F9">
        <w:rPr>
          <w:color w:val="000000"/>
        </w:rPr>
        <w:t>г</w:t>
      </w:r>
      <w:r w:rsidR="000124F9" w:rsidRPr="000124F9">
        <w:rPr>
          <w:color w:val="000000"/>
        </w:rPr>
        <w:t>рантовое</w:t>
      </w:r>
      <w:proofErr w:type="spellEnd"/>
      <w:r w:rsidR="000124F9" w:rsidRPr="000124F9">
        <w:rPr>
          <w:color w:val="000000"/>
        </w:rPr>
        <w:t xml:space="preserve"> финансирование по научным и (или) научно-техническим проектам МОН РК на 2020-2022 годы</w:t>
      </w:r>
      <w:r w:rsidR="000124F9">
        <w:rPr>
          <w:color w:val="000000"/>
        </w:rPr>
        <w:t xml:space="preserve">». </w:t>
      </w:r>
      <w:r w:rsidR="000124F9" w:rsidRPr="000124F9">
        <w:rPr>
          <w:color w:val="000000"/>
        </w:rPr>
        <w:t xml:space="preserve">Исследование проводит лаборатория </w:t>
      </w:r>
      <w:proofErr w:type="gramStart"/>
      <w:r w:rsidR="000124F9" w:rsidRPr="000124F9">
        <w:rPr>
          <w:color w:val="000000"/>
        </w:rPr>
        <w:t>проточной</w:t>
      </w:r>
      <w:proofErr w:type="gramEnd"/>
      <w:r w:rsidR="000124F9" w:rsidRPr="000124F9">
        <w:rPr>
          <w:color w:val="000000"/>
        </w:rPr>
        <w:t xml:space="preserve"> </w:t>
      </w:r>
      <w:proofErr w:type="spellStart"/>
      <w:r w:rsidR="000124F9" w:rsidRPr="000124F9">
        <w:rPr>
          <w:color w:val="000000"/>
        </w:rPr>
        <w:t>цитометрии</w:t>
      </w:r>
      <w:r w:rsidR="000124F9">
        <w:rPr>
          <w:color w:val="000000"/>
        </w:rPr>
        <w:t>.</w:t>
      </w:r>
      <w:proofErr w:type="spellEnd"/>
    </w:p>
    <w:p w:rsidR="001A3604" w:rsidRPr="001A3604" w:rsidRDefault="000701B8" w:rsidP="007314BC">
      <w:pPr>
        <w:pStyle w:val="aa"/>
        <w:contextualSpacing/>
        <w:jc w:val="both"/>
        <w:rPr>
          <w:color w:val="000000"/>
        </w:rPr>
      </w:pPr>
      <w:r w:rsidRPr="000701B8">
        <w:rPr>
          <w:color w:val="000000"/>
        </w:rPr>
        <w:t>Главный исследователь</w:t>
      </w:r>
      <w:r>
        <w:rPr>
          <w:color w:val="000000"/>
        </w:rPr>
        <w:t xml:space="preserve">: </w:t>
      </w:r>
      <w:proofErr w:type="spellStart"/>
      <w:r w:rsidR="001A3604" w:rsidRPr="001A3604">
        <w:rPr>
          <w:color w:val="000000"/>
        </w:rPr>
        <w:t>Кустова</w:t>
      </w:r>
      <w:proofErr w:type="spellEnd"/>
      <w:r w:rsidR="001A3604" w:rsidRPr="001A3604">
        <w:rPr>
          <w:color w:val="000000"/>
        </w:rPr>
        <w:t xml:space="preserve"> Е.А.</w:t>
      </w:r>
    </w:p>
    <w:p w:rsidR="00432917" w:rsidRDefault="00503F29" w:rsidP="007314BC">
      <w:pPr>
        <w:pStyle w:val="aa"/>
        <w:contextualSpacing/>
        <w:jc w:val="both"/>
        <w:rPr>
          <w:color w:val="000000"/>
        </w:rPr>
      </w:pPr>
      <w:r w:rsidRPr="00503F29">
        <w:rPr>
          <w:color w:val="000000"/>
        </w:rPr>
        <w:t>Соисполнители:</w:t>
      </w:r>
      <w:r w:rsidR="00E660D9" w:rsidRPr="00E660D9">
        <w:rPr>
          <w:color w:val="000000"/>
          <w:sz w:val="28"/>
          <w:szCs w:val="28"/>
        </w:rPr>
        <w:t xml:space="preserve"> </w:t>
      </w:r>
      <w:proofErr w:type="spellStart"/>
      <w:r w:rsidR="00E660D9" w:rsidRPr="00E660D9">
        <w:rPr>
          <w:color w:val="000000"/>
        </w:rPr>
        <w:t>Булегенова</w:t>
      </w:r>
      <w:proofErr w:type="spellEnd"/>
      <w:r w:rsidR="00E660D9" w:rsidRPr="00E660D9">
        <w:rPr>
          <w:color w:val="000000"/>
        </w:rPr>
        <w:t xml:space="preserve"> М.Г., , </w:t>
      </w:r>
      <w:proofErr w:type="spellStart"/>
      <w:r w:rsidR="00E660D9" w:rsidRPr="00E660D9">
        <w:rPr>
          <w:color w:val="000000"/>
        </w:rPr>
        <w:t>Уразалиева</w:t>
      </w:r>
      <w:proofErr w:type="spellEnd"/>
      <w:r w:rsidR="00E660D9" w:rsidRPr="00E660D9">
        <w:rPr>
          <w:color w:val="000000"/>
        </w:rPr>
        <w:t xml:space="preserve"> Н.Т</w:t>
      </w:r>
      <w:r w:rsidR="00E660D9">
        <w:rPr>
          <w:color w:val="000000"/>
        </w:rPr>
        <w:t>.</w:t>
      </w:r>
    </w:p>
    <w:p w:rsidR="005F2359" w:rsidRDefault="000F67F3" w:rsidP="007314BC">
      <w:pPr>
        <w:pStyle w:val="aa"/>
        <w:contextualSpacing/>
        <w:jc w:val="both"/>
      </w:pPr>
      <w:r w:rsidRPr="000F67F3">
        <w:rPr>
          <w:color w:val="000000"/>
        </w:rPr>
        <w:t>Сроки проведения клинического исследования</w:t>
      </w:r>
      <w:r>
        <w:rPr>
          <w:color w:val="000000"/>
        </w:rPr>
        <w:t xml:space="preserve">: </w:t>
      </w:r>
      <w:r w:rsidRPr="000F67F3">
        <w:t>01.09.2020 –31.08.2021 гг.</w:t>
      </w:r>
    </w:p>
    <w:p w:rsidR="00432917" w:rsidRDefault="00432917" w:rsidP="007314BC">
      <w:pPr>
        <w:pStyle w:val="aa"/>
        <w:contextualSpacing/>
        <w:jc w:val="both"/>
        <w:rPr>
          <w:color w:val="000000"/>
        </w:rPr>
      </w:pPr>
      <w:r>
        <w:t>Докладчик:</w:t>
      </w:r>
      <w:r>
        <w:t xml:space="preserve"> </w:t>
      </w:r>
      <w:proofErr w:type="spellStart"/>
      <w:r w:rsidRPr="00E660D9">
        <w:rPr>
          <w:color w:val="000000"/>
        </w:rPr>
        <w:t>Уразалиева</w:t>
      </w:r>
      <w:proofErr w:type="spellEnd"/>
      <w:r w:rsidRPr="00E660D9">
        <w:rPr>
          <w:color w:val="000000"/>
        </w:rPr>
        <w:t xml:space="preserve"> Н.Т</w:t>
      </w:r>
      <w:r>
        <w:rPr>
          <w:color w:val="000000"/>
        </w:rPr>
        <w:t>.</w:t>
      </w:r>
    </w:p>
    <w:p w:rsidR="00014764" w:rsidRDefault="00014764" w:rsidP="007314BC">
      <w:pPr>
        <w:pStyle w:val="aa"/>
        <w:contextualSpacing/>
        <w:jc w:val="both"/>
        <w:rPr>
          <w:color w:val="000000"/>
        </w:rPr>
      </w:pPr>
    </w:p>
    <w:p w:rsidR="00014764" w:rsidRDefault="00014764" w:rsidP="007314BC">
      <w:pPr>
        <w:pStyle w:val="aa"/>
        <w:contextualSpacing/>
        <w:jc w:val="both"/>
      </w:pPr>
      <w:r w:rsidRPr="007D21F3">
        <w:rPr>
          <w:color w:val="000000"/>
          <w:u w:val="single"/>
        </w:rPr>
        <w:t>Цель клинического исследования</w:t>
      </w:r>
      <w:r>
        <w:rPr>
          <w:color w:val="000000"/>
        </w:rPr>
        <w:t xml:space="preserve">: </w:t>
      </w:r>
      <w:r w:rsidRPr="00014764">
        <w:t xml:space="preserve">Анализ экспрессии антигенов </w:t>
      </w:r>
      <w:proofErr w:type="spellStart"/>
      <w:r w:rsidRPr="00014764">
        <w:t>апоптоза</w:t>
      </w:r>
      <w:proofErr w:type="spellEnd"/>
      <w:r w:rsidRPr="00014764">
        <w:t xml:space="preserve"> </w:t>
      </w:r>
      <w:proofErr w:type="gramStart"/>
      <w:r w:rsidRPr="00014764">
        <w:t>при</w:t>
      </w:r>
      <w:proofErr w:type="gramEnd"/>
      <w:r w:rsidRPr="00014764">
        <w:t xml:space="preserve"> </w:t>
      </w:r>
      <w:proofErr w:type="gramStart"/>
      <w:r w:rsidRPr="00014764">
        <w:t>различных</w:t>
      </w:r>
      <w:proofErr w:type="gramEnd"/>
      <w:r w:rsidRPr="00014764">
        <w:t xml:space="preserve"> </w:t>
      </w:r>
      <w:proofErr w:type="spellStart"/>
      <w:r w:rsidRPr="00014764">
        <w:t>подвариантах</w:t>
      </w:r>
      <w:proofErr w:type="spellEnd"/>
      <w:r w:rsidRPr="00014764">
        <w:t xml:space="preserve"> острых лейкозов у детей с использованием панели </w:t>
      </w:r>
      <w:proofErr w:type="spellStart"/>
      <w:r w:rsidRPr="00014764">
        <w:t>иммунофенотипических</w:t>
      </w:r>
      <w:proofErr w:type="spellEnd"/>
      <w:r w:rsidRPr="00014764">
        <w:t xml:space="preserve"> маркеров с целью персонификации</w:t>
      </w:r>
    </w:p>
    <w:p w:rsidR="007D21F3" w:rsidRDefault="00014764" w:rsidP="007314BC">
      <w:pPr>
        <w:pStyle w:val="aa"/>
        <w:contextualSpacing/>
        <w:jc w:val="both"/>
      </w:pPr>
      <w:r w:rsidRPr="007D21F3">
        <w:rPr>
          <w:u w:val="single"/>
        </w:rPr>
        <w:t>Задачи проекта</w:t>
      </w:r>
      <w:r>
        <w:t xml:space="preserve">: </w:t>
      </w:r>
      <w:r w:rsidRPr="00014764">
        <w:t xml:space="preserve">1. Сравнение экспрессии различных сочетаний маркеров </w:t>
      </w:r>
      <w:proofErr w:type="spellStart"/>
      <w:r w:rsidRPr="00014764">
        <w:t>апоптоза</w:t>
      </w:r>
      <w:proofErr w:type="spellEnd"/>
      <w:r w:rsidRPr="00014764">
        <w:t xml:space="preserve"> в зависимости от линейного происхождения и степени дифференцировки лейкемических клеток.</w:t>
      </w:r>
      <w:r>
        <w:t xml:space="preserve"> </w:t>
      </w:r>
      <w:r w:rsidRPr="00014764">
        <w:t xml:space="preserve">2. Определение ассоциации между различными сочетаниями маркеров </w:t>
      </w:r>
      <w:proofErr w:type="spellStart"/>
      <w:r w:rsidRPr="00014764">
        <w:t>апоптоза</w:t>
      </w:r>
      <w:proofErr w:type="spellEnd"/>
      <w:r w:rsidRPr="00014764">
        <w:t xml:space="preserve"> при различных вариантах острых лейкозов у детей в динамике.</w:t>
      </w:r>
      <w:r>
        <w:t xml:space="preserve"> </w:t>
      </w:r>
      <w:r w:rsidRPr="00014764">
        <w:t xml:space="preserve">3. Анализ роли маркеров, контролирующих </w:t>
      </w:r>
      <w:proofErr w:type="spellStart"/>
      <w:r w:rsidRPr="00014764">
        <w:t>апоптоз</w:t>
      </w:r>
      <w:proofErr w:type="spellEnd"/>
      <w:r w:rsidRPr="00014764">
        <w:t xml:space="preserve">, при различных вариантах лейкоза у детей и разработка рекомендаций по расширению панели поверхностных антигенов при </w:t>
      </w:r>
      <w:proofErr w:type="spellStart"/>
      <w:r>
        <w:t>и</w:t>
      </w:r>
      <w:r w:rsidRPr="00014764">
        <w:t>ммунофеноти</w:t>
      </w:r>
      <w:r>
        <w:t>-</w:t>
      </w:r>
      <w:r w:rsidRPr="00014764">
        <w:t>пировании</w:t>
      </w:r>
      <w:proofErr w:type="spellEnd"/>
      <w:r w:rsidRPr="00014764">
        <w:t xml:space="preserve"> клеток костного мозга на различных этапах терапии.</w:t>
      </w:r>
      <w:r>
        <w:t xml:space="preserve"> </w:t>
      </w:r>
      <w:r w:rsidRPr="00014764">
        <w:t xml:space="preserve">4. Определение прогностического значения и возможности </w:t>
      </w:r>
      <w:proofErr w:type="spellStart"/>
      <w:r w:rsidRPr="00014764">
        <w:t>взаимодополняемости</w:t>
      </w:r>
      <w:proofErr w:type="spellEnd"/>
      <w:r w:rsidRPr="00014764">
        <w:t xml:space="preserve"> </w:t>
      </w:r>
      <w:proofErr w:type="spellStart"/>
      <w:r w:rsidRPr="00014764">
        <w:t>иммунофенотипических</w:t>
      </w:r>
      <w:proofErr w:type="spellEnd"/>
      <w:r w:rsidRPr="00014764">
        <w:t xml:space="preserve"> маркеров у детей с </w:t>
      </w:r>
      <w:proofErr w:type="gramStart"/>
      <w:r w:rsidRPr="00014764">
        <w:t>исследуемыми</w:t>
      </w:r>
      <w:proofErr w:type="gramEnd"/>
      <w:r w:rsidRPr="00014764">
        <w:t xml:space="preserve"> </w:t>
      </w:r>
      <w:proofErr w:type="spellStart"/>
      <w:r w:rsidRPr="00014764">
        <w:t>подвариантами</w:t>
      </w:r>
      <w:proofErr w:type="spellEnd"/>
      <w:r w:rsidRPr="00014764">
        <w:t xml:space="preserve"> острых лейкозов</w:t>
      </w:r>
      <w:r w:rsidR="007D21F3">
        <w:t>.</w:t>
      </w:r>
    </w:p>
    <w:p w:rsidR="007D21F3" w:rsidRDefault="007D21F3" w:rsidP="007314BC">
      <w:pPr>
        <w:pStyle w:val="aa"/>
        <w:contextualSpacing/>
        <w:jc w:val="both"/>
      </w:pPr>
      <w:r w:rsidRPr="007D21F3">
        <w:rPr>
          <w:u w:val="single"/>
        </w:rPr>
        <w:t>Научная новизна</w:t>
      </w:r>
      <w:r>
        <w:rPr>
          <w:u w:val="single"/>
        </w:rPr>
        <w:t xml:space="preserve">: </w:t>
      </w:r>
      <w:r w:rsidRPr="00014764">
        <w:t xml:space="preserve">1. Впервые в РК будет проведено исследование по изучению и сравнению экспрессии различных сочетаний маркеров </w:t>
      </w:r>
      <w:proofErr w:type="spellStart"/>
      <w:r w:rsidRPr="00014764">
        <w:t>апоптоза</w:t>
      </w:r>
      <w:proofErr w:type="spellEnd"/>
      <w:r w:rsidRPr="00014764">
        <w:t xml:space="preserve"> в зависимости от линейного происхождения и степени дифференцировки лейкемических клеток.</w:t>
      </w:r>
      <w:r>
        <w:t xml:space="preserve"> </w:t>
      </w:r>
    </w:p>
    <w:p w:rsidR="007D21F3" w:rsidRPr="00014764" w:rsidRDefault="007D21F3" w:rsidP="007314BC">
      <w:pPr>
        <w:pStyle w:val="aa"/>
        <w:contextualSpacing/>
        <w:jc w:val="both"/>
      </w:pPr>
      <w:r w:rsidRPr="00014764">
        <w:t xml:space="preserve">2. Будет выявлено наличие/отсутствие ассоциации между различными сочетаниями маркеров </w:t>
      </w:r>
      <w:proofErr w:type="spellStart"/>
      <w:r w:rsidRPr="00014764">
        <w:t>апоптоза</w:t>
      </w:r>
      <w:proofErr w:type="spellEnd"/>
      <w:r w:rsidRPr="00014764">
        <w:t xml:space="preserve"> при различных вариантах острых лейкозов у детей в динамике. Анализ роли маркеров, контролирующих </w:t>
      </w:r>
      <w:proofErr w:type="spellStart"/>
      <w:r w:rsidRPr="00014764">
        <w:t>апоптоз</w:t>
      </w:r>
      <w:proofErr w:type="spellEnd"/>
      <w:r w:rsidRPr="00014764">
        <w:t xml:space="preserve">, даст возможность разработать рекомендации по расширению панели поверхностных антигенов при </w:t>
      </w:r>
      <w:proofErr w:type="spellStart"/>
      <w:r w:rsidRPr="00014764">
        <w:t>иммунофенотипировании</w:t>
      </w:r>
      <w:proofErr w:type="spellEnd"/>
      <w:r w:rsidRPr="00014764">
        <w:t xml:space="preserve"> клеток костного мозга на различных этапах терапии.</w:t>
      </w:r>
    </w:p>
    <w:p w:rsidR="004D13BC" w:rsidRDefault="007D21F3" w:rsidP="007314BC">
      <w:pPr>
        <w:pStyle w:val="aa"/>
        <w:contextualSpacing/>
        <w:jc w:val="both"/>
      </w:pPr>
      <w:r w:rsidRPr="00014764">
        <w:t xml:space="preserve">3. Впервые будет разработана комплексная прогностическая панель </w:t>
      </w:r>
      <w:proofErr w:type="spellStart"/>
      <w:r w:rsidRPr="00014764">
        <w:t>иммунофенотипических</w:t>
      </w:r>
      <w:proofErr w:type="spellEnd"/>
      <w:r w:rsidRPr="00014764">
        <w:t xml:space="preserve"> маркеров у детей с исследуемыми нозологиями.</w:t>
      </w:r>
    </w:p>
    <w:p w:rsidR="00626C5C" w:rsidRDefault="007D21F3" w:rsidP="007314BC">
      <w:pPr>
        <w:pStyle w:val="aa"/>
        <w:contextualSpacing/>
        <w:jc w:val="both"/>
      </w:pPr>
      <w:r w:rsidRPr="007D21F3">
        <w:rPr>
          <w:u w:val="single"/>
        </w:rPr>
        <w:t>Практическая значимость</w:t>
      </w:r>
      <w:r>
        <w:rPr>
          <w:u w:val="single"/>
        </w:rPr>
        <w:t xml:space="preserve">: </w:t>
      </w:r>
      <w:r w:rsidR="004D13BC" w:rsidRPr="00014764">
        <w:t xml:space="preserve">Планируемое внедрение комплексной панели </w:t>
      </w:r>
      <w:proofErr w:type="spellStart"/>
      <w:r w:rsidR="004D13BC" w:rsidRPr="00014764">
        <w:t>иммунофенотипических</w:t>
      </w:r>
      <w:proofErr w:type="spellEnd"/>
      <w:r w:rsidR="004D13BC" w:rsidRPr="00014764">
        <w:t xml:space="preserve"> маркеров позволит прогнозировать течение заболевания и, таким образом, оптимизировать терапию.</w:t>
      </w:r>
      <w:r w:rsidR="004D13BC">
        <w:t xml:space="preserve"> </w:t>
      </w:r>
      <w:r w:rsidR="004D13BC" w:rsidRPr="00014764">
        <w:t xml:space="preserve">На основе полученных результатов будут разработаны методические рекомендации для преподавателей медицинских вузов и врачей </w:t>
      </w:r>
    </w:p>
    <w:p w:rsidR="00626C5C" w:rsidRDefault="00626C5C" w:rsidP="007314BC">
      <w:pPr>
        <w:pStyle w:val="aa"/>
        <w:contextualSpacing/>
        <w:jc w:val="both"/>
      </w:pPr>
    </w:p>
    <w:p w:rsidR="00626C5C" w:rsidRDefault="00626C5C" w:rsidP="007314BC">
      <w:pPr>
        <w:pStyle w:val="aa"/>
        <w:contextualSpacing/>
        <w:jc w:val="both"/>
      </w:pPr>
    </w:p>
    <w:p w:rsidR="00626C5C" w:rsidRDefault="00626C5C" w:rsidP="007314BC">
      <w:pPr>
        <w:pStyle w:val="aa"/>
        <w:contextualSpacing/>
        <w:jc w:val="both"/>
      </w:pPr>
    </w:p>
    <w:p w:rsidR="00626C5C" w:rsidRDefault="004D13BC" w:rsidP="007314BC">
      <w:pPr>
        <w:pStyle w:val="aa"/>
        <w:contextualSpacing/>
        <w:jc w:val="both"/>
      </w:pPr>
      <w:r w:rsidRPr="00014764">
        <w:t>постдипломного уровня по следующим специальностям "Детская онкология/гематология", "Лабораторная диагностика"</w:t>
      </w:r>
    </w:p>
    <w:p w:rsidR="00626C5C" w:rsidRPr="00626C5C" w:rsidRDefault="00626C5C" w:rsidP="007314BC">
      <w:pPr>
        <w:pStyle w:val="aa"/>
        <w:contextualSpacing/>
        <w:jc w:val="both"/>
      </w:pPr>
      <w:r w:rsidRPr="00626C5C">
        <w:rPr>
          <w:u w:val="single"/>
        </w:rPr>
        <w:t>Количество субъектов исследования</w:t>
      </w:r>
      <w:r>
        <w:rPr>
          <w:color w:val="000000"/>
        </w:rPr>
        <w:t xml:space="preserve">: </w:t>
      </w:r>
      <w:r w:rsidRPr="00014764">
        <w:rPr>
          <w:color w:val="000000"/>
        </w:rPr>
        <w:t>пациентов-участников исследования: 70</w:t>
      </w:r>
    </w:p>
    <w:p w:rsidR="00626C5C" w:rsidRDefault="00626C5C" w:rsidP="007314BC">
      <w:pPr>
        <w:pStyle w:val="aa"/>
        <w:contextualSpacing/>
        <w:jc w:val="both"/>
        <w:rPr>
          <w:color w:val="000000"/>
        </w:rPr>
      </w:pPr>
      <w:r w:rsidRPr="00014764">
        <w:rPr>
          <w:color w:val="000000"/>
        </w:rPr>
        <w:t>Возрастной диапазон участников — дети от 0 до 18 лет. Пациенты детского возраста, находящиеся на стационарном лечении в АО НЦПДХ</w:t>
      </w:r>
      <w:r>
        <w:rPr>
          <w:color w:val="000000"/>
        </w:rPr>
        <w:t>.</w:t>
      </w:r>
    </w:p>
    <w:p w:rsidR="00C752CE" w:rsidRPr="00C752CE" w:rsidRDefault="00C752CE" w:rsidP="007314BC">
      <w:pPr>
        <w:pStyle w:val="aa"/>
        <w:contextualSpacing/>
        <w:jc w:val="both"/>
        <w:rPr>
          <w:color w:val="000000"/>
          <w:u w:val="single"/>
        </w:rPr>
      </w:pPr>
      <w:r w:rsidRPr="00C752CE">
        <w:rPr>
          <w:color w:val="000000"/>
          <w:u w:val="single"/>
        </w:rPr>
        <w:t>Анализ и мониторинг данных</w:t>
      </w:r>
      <w:r>
        <w:rPr>
          <w:color w:val="000000"/>
          <w:u w:val="single"/>
        </w:rPr>
        <w:t xml:space="preserve">: </w:t>
      </w:r>
      <w:r w:rsidRPr="00014764">
        <w:t xml:space="preserve">Организационно-правовое обеспечение. При выполнении Проекта планируется использование стандартизированных клинико-лабораторных, </w:t>
      </w:r>
      <w:proofErr w:type="spellStart"/>
      <w:r w:rsidRPr="00014764">
        <w:t>иммуннологических</w:t>
      </w:r>
      <w:proofErr w:type="spellEnd"/>
      <w:r w:rsidRPr="00014764">
        <w:t xml:space="preserve">, иммуноферментных методик, а также современных статистических методов с учетом требований доказательной медицины как по дизайну исследования, объему и качеству отобранного материала, так и по адекватности применения методов статистического анализа. Планируемая в использовании аппаратура (проточный </w:t>
      </w:r>
      <w:proofErr w:type="spellStart"/>
      <w:r w:rsidRPr="00014764">
        <w:t>цитофлюориметр</w:t>
      </w:r>
      <w:proofErr w:type="spellEnd"/>
      <w:r w:rsidRPr="00014764">
        <w:t>) лаборатории прошла метрологический контроль. Сертифицированные методики позволяют выполнить научно-исследовательскую работу на должном уровне</w:t>
      </w:r>
    </w:p>
    <w:p w:rsidR="00014764" w:rsidRDefault="005916A1" w:rsidP="00731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Вопрос. </w:t>
      </w:r>
      <w:r w:rsidR="00C752CE">
        <w:rPr>
          <w:rFonts w:ascii="Times New Roman" w:hAnsi="Times New Roman" w:cs="Times New Roman"/>
          <w:sz w:val="24"/>
          <w:szCs w:val="24"/>
        </w:rPr>
        <w:t xml:space="preserve">Сулейманова С.Б.: </w:t>
      </w:r>
      <w:r w:rsidR="00C752CE" w:rsidRPr="00014764">
        <w:rPr>
          <w:rFonts w:ascii="Times New Roman" w:hAnsi="Times New Roman" w:cs="Times New Roman"/>
          <w:color w:val="000000"/>
          <w:sz w:val="24"/>
          <w:szCs w:val="24"/>
        </w:rPr>
        <w:t>Степень риска</w:t>
      </w:r>
      <w:r w:rsidR="00C752C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C752CE" w:rsidRPr="00014764">
        <w:rPr>
          <w:rFonts w:ascii="Times New Roman" w:hAnsi="Times New Roman" w:cs="Times New Roman"/>
          <w:color w:val="000000"/>
          <w:sz w:val="24"/>
          <w:szCs w:val="24"/>
        </w:rPr>
        <w:t>Защита от риска</w:t>
      </w:r>
      <w:r w:rsidR="00C752C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C752CE" w:rsidRPr="00014764">
        <w:rPr>
          <w:rFonts w:ascii="Times New Roman" w:hAnsi="Times New Roman" w:cs="Times New Roman"/>
          <w:color w:val="000000"/>
          <w:sz w:val="24"/>
          <w:szCs w:val="24"/>
        </w:rPr>
        <w:t>Потенциальная польза для участника</w:t>
      </w:r>
      <w:r w:rsidR="00C752C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014764" w:rsidRDefault="005916A1" w:rsidP="007314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14764">
        <w:rPr>
          <w:rFonts w:ascii="Times New Roman" w:hAnsi="Times New Roman" w:cs="Times New Roman"/>
          <w:sz w:val="24"/>
          <w:szCs w:val="24"/>
        </w:rPr>
        <w:t>Степень риска минимальная, так как вероятность и магнитуда вреда или дискомфорта, ожидаемая в исследовании не больше, чем обычно встречается в повседневной жизни или во время получения рутинных физических или психологических тестов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2BF" w:rsidRPr="009A62BF">
        <w:rPr>
          <w:rFonts w:ascii="Times New Roman" w:hAnsi="Times New Roman" w:cs="Times New Roman"/>
          <w:sz w:val="24"/>
          <w:szCs w:val="24"/>
        </w:rPr>
        <w:t xml:space="preserve"> </w:t>
      </w:r>
      <w:r w:rsidR="009A62BF" w:rsidRPr="00014764">
        <w:rPr>
          <w:rFonts w:ascii="Times New Roman" w:hAnsi="Times New Roman" w:cs="Times New Roman"/>
          <w:sz w:val="24"/>
          <w:szCs w:val="24"/>
        </w:rPr>
        <w:t>Потенциальный риск или дискомфорт будет минимизирован насколько это возможно путем использования таких процедур, как обучение персонала, мониторинг, исключение участника после получения доказательств негативных реакций или побочных явлений</w:t>
      </w:r>
      <w:r w:rsidR="009A62BF">
        <w:rPr>
          <w:rFonts w:ascii="Times New Roman" w:hAnsi="Times New Roman" w:cs="Times New Roman"/>
          <w:sz w:val="24"/>
          <w:szCs w:val="24"/>
        </w:rPr>
        <w:t>.</w:t>
      </w:r>
      <w:r w:rsidR="009A62BF" w:rsidRPr="009A62BF">
        <w:rPr>
          <w:rFonts w:ascii="Times New Roman" w:hAnsi="Times New Roman" w:cs="Times New Roman"/>
          <w:sz w:val="24"/>
          <w:szCs w:val="24"/>
        </w:rPr>
        <w:t xml:space="preserve"> </w:t>
      </w:r>
      <w:r w:rsidR="009A62BF" w:rsidRPr="00014764">
        <w:rPr>
          <w:rFonts w:ascii="Times New Roman" w:hAnsi="Times New Roman" w:cs="Times New Roman"/>
          <w:sz w:val="24"/>
          <w:szCs w:val="24"/>
        </w:rPr>
        <w:t xml:space="preserve">Ожидаемая польза для участника — планируемое внедрение комплексной панели </w:t>
      </w:r>
      <w:proofErr w:type="spellStart"/>
      <w:r w:rsidR="009A62BF" w:rsidRPr="00014764">
        <w:rPr>
          <w:rFonts w:ascii="Times New Roman" w:hAnsi="Times New Roman" w:cs="Times New Roman"/>
          <w:sz w:val="24"/>
          <w:szCs w:val="24"/>
        </w:rPr>
        <w:t>иммунофенотипических</w:t>
      </w:r>
      <w:proofErr w:type="spellEnd"/>
      <w:r w:rsidR="009A62BF" w:rsidRPr="00014764">
        <w:rPr>
          <w:rFonts w:ascii="Times New Roman" w:hAnsi="Times New Roman" w:cs="Times New Roman"/>
          <w:sz w:val="24"/>
          <w:szCs w:val="24"/>
        </w:rPr>
        <w:t xml:space="preserve"> маркеров позволит прогнозировать течение заболевания и, таким образом, оптимизировать терапию</w:t>
      </w:r>
    </w:p>
    <w:p w:rsidR="009B34B7" w:rsidRDefault="009B34B7" w:rsidP="007314B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Бишманов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 </w:t>
      </w:r>
      <w:r w:rsidRPr="0001476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Информационное сог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ласие на участие в исследовании?</w:t>
      </w:r>
    </w:p>
    <w:p w:rsidR="009B34B7" w:rsidRDefault="009B34B7" w:rsidP="007314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Ответ:</w:t>
      </w:r>
      <w:r w:rsidRPr="009B34B7">
        <w:rPr>
          <w:rFonts w:ascii="Times New Roman" w:hAnsi="Times New Roman" w:cs="Times New Roman"/>
          <w:sz w:val="24"/>
          <w:szCs w:val="24"/>
        </w:rPr>
        <w:t xml:space="preserve"> </w:t>
      </w:r>
      <w:r w:rsidRPr="00014764">
        <w:rPr>
          <w:rFonts w:ascii="Times New Roman" w:hAnsi="Times New Roman" w:cs="Times New Roman"/>
          <w:sz w:val="24"/>
          <w:szCs w:val="24"/>
        </w:rPr>
        <w:t>Забор биоматериала будет проводиться у больных с их информированного согласия в рамках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764">
        <w:rPr>
          <w:rFonts w:ascii="Times New Roman" w:hAnsi="Times New Roman" w:cs="Times New Roman"/>
          <w:sz w:val="24"/>
          <w:szCs w:val="24"/>
        </w:rPr>
        <w:t>Письменное информированное согласие  пациентов исследования без любых элементов принуждения или насилия по утвержденной форме ЛЭК включены (разрешение родителей ребенка либо 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4B7" w:rsidRDefault="00EA1DD4" w:rsidP="007314B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42" w:right="-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 </w:t>
      </w:r>
    </w:p>
    <w:p w:rsidR="00EA1DD4" w:rsidRDefault="00DE01E2" w:rsidP="007314B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bookmarkStart w:id="0" w:name="_GoBack"/>
      <w:bookmarkEnd w:id="0"/>
      <w:r w:rsidR="00EA1DD4" w:rsidRPr="00014764">
        <w:rPr>
          <w:rFonts w:ascii="Times New Roman" w:hAnsi="Times New Roman" w:cs="Times New Roman"/>
          <w:sz w:val="24"/>
          <w:szCs w:val="24"/>
        </w:rPr>
        <w:t>Ответственный исполнитель несет ответственность за получение и документирование ИС от всех субъектов. Данные будут надежно храниться на защищенном паролем ПК PI в НЦПДХ в зашифрованном файле</w:t>
      </w:r>
    </w:p>
    <w:p w:rsidR="00EA1DD4" w:rsidRPr="009B34B7" w:rsidRDefault="00EA1DD4" w:rsidP="007314B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014764">
        <w:rPr>
          <w:rFonts w:ascii="Times New Roman" w:hAnsi="Times New Roman" w:cs="Times New Roman"/>
          <w:sz w:val="24"/>
          <w:szCs w:val="24"/>
        </w:rPr>
        <w:t>Процедуры, проводимые в исследованиях с участием детей – участников, соответствуют принципам гуманизма и этическим стандартам институционального исследовательского комитета, а также Хельсинской декларации, определенными международными и национальными нормативными и правовыми актами,  руководствами для исследований с участием человека в качестве испытуемого</w:t>
      </w:r>
    </w:p>
    <w:p w:rsidR="00014764" w:rsidRDefault="00D23C9E" w:rsidP="007314BC">
      <w:pPr>
        <w:pStyle w:val="aa"/>
        <w:contextualSpacing/>
        <w:jc w:val="both"/>
      </w:pPr>
      <w:r>
        <w:rPr>
          <w:bCs/>
          <w:spacing w:val="-5"/>
        </w:rPr>
        <w:t>Решение:</w:t>
      </w:r>
      <w:r>
        <w:rPr>
          <w:bCs/>
          <w:spacing w:val="-5"/>
        </w:rPr>
        <w:t xml:space="preserve"> </w:t>
      </w:r>
      <w:r>
        <w:t>одобрено, единогласно</w:t>
      </w:r>
    </w:p>
    <w:p w:rsidR="00EA1DD4" w:rsidRDefault="00EA1DD4" w:rsidP="00432917">
      <w:pPr>
        <w:pStyle w:val="aa"/>
        <w:contextualSpacing/>
        <w:jc w:val="both"/>
      </w:pPr>
    </w:p>
    <w:p w:rsidR="00EA1DD4" w:rsidRDefault="00EA1DD4" w:rsidP="00432917">
      <w:pPr>
        <w:pStyle w:val="aa"/>
        <w:contextualSpacing/>
        <w:jc w:val="both"/>
      </w:pPr>
    </w:p>
    <w:p w:rsidR="00EA1DD4" w:rsidRDefault="00EA1DD4" w:rsidP="00432917">
      <w:pPr>
        <w:pStyle w:val="aa"/>
        <w:contextualSpacing/>
        <w:jc w:val="both"/>
      </w:pPr>
    </w:p>
    <w:p w:rsidR="00432917" w:rsidRPr="00432917" w:rsidRDefault="00432917" w:rsidP="00432917">
      <w:pPr>
        <w:pStyle w:val="aa"/>
        <w:contextualSpacing/>
        <w:jc w:val="both"/>
        <w:rPr>
          <w:color w:val="000000"/>
        </w:rPr>
      </w:pPr>
    </w:p>
    <w:p w:rsidR="0003064B" w:rsidRDefault="0003064B" w:rsidP="005E7060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78CA" w:rsidRDefault="002D1032" w:rsidP="007314BC">
      <w:pPr>
        <w:pStyle w:val="aa"/>
        <w:contextualSpacing/>
        <w:jc w:val="both"/>
        <w:rPr>
          <w:color w:val="000000"/>
        </w:rPr>
      </w:pPr>
      <w:r w:rsidRPr="002D1032">
        <w:rPr>
          <w:b/>
        </w:rPr>
        <w:t>2</w:t>
      </w:r>
      <w:r>
        <w:t xml:space="preserve">. </w:t>
      </w:r>
      <w:r w:rsidRPr="002D1032">
        <w:t>Рассмотрение этических вопросов на выполнение научно-исследовательской работы на тему:</w:t>
      </w:r>
      <w:r w:rsidR="009B15D9" w:rsidRPr="009B15D9">
        <w:rPr>
          <w:i/>
          <w:sz w:val="28"/>
          <w:szCs w:val="28"/>
        </w:rPr>
        <w:t xml:space="preserve"> </w:t>
      </w:r>
      <w:r w:rsidR="009B15D9" w:rsidRPr="00291A39">
        <w:rPr>
          <w:i/>
        </w:rPr>
        <w:t>«</w:t>
      </w:r>
      <w:r w:rsidR="009B15D9" w:rsidRPr="00291A39">
        <w:t>Новые</w:t>
      </w:r>
      <w:r w:rsidR="009B15D9" w:rsidRPr="009B15D9">
        <w:t xml:space="preserve"> подходы к диагностике септического состояния у детей с использованием экспрессии HLA-DR антигена на поверхности моноцитов»</w:t>
      </w:r>
      <w:r w:rsidR="005578CA" w:rsidRPr="005578CA">
        <w:rPr>
          <w:color w:val="000000"/>
        </w:rPr>
        <w:t xml:space="preserve"> </w:t>
      </w:r>
      <w:proofErr w:type="gramStart"/>
      <w:r w:rsidR="005578CA" w:rsidRPr="000124F9">
        <w:rPr>
          <w:color w:val="000000"/>
        </w:rPr>
        <w:t>пла</w:t>
      </w:r>
      <w:r w:rsidR="005578CA">
        <w:rPr>
          <w:color w:val="000000"/>
        </w:rPr>
        <w:t>нируемую</w:t>
      </w:r>
      <w:proofErr w:type="gramEnd"/>
      <w:r w:rsidR="005578CA">
        <w:rPr>
          <w:color w:val="000000"/>
        </w:rPr>
        <w:t xml:space="preserve"> к выполнению в рамках «</w:t>
      </w:r>
      <w:proofErr w:type="spellStart"/>
      <w:r w:rsidR="005578CA">
        <w:rPr>
          <w:color w:val="000000"/>
        </w:rPr>
        <w:t>г</w:t>
      </w:r>
      <w:r w:rsidR="005578CA" w:rsidRPr="000124F9">
        <w:rPr>
          <w:color w:val="000000"/>
        </w:rPr>
        <w:t>рантовое</w:t>
      </w:r>
      <w:proofErr w:type="spellEnd"/>
      <w:r w:rsidR="005578CA" w:rsidRPr="000124F9">
        <w:rPr>
          <w:color w:val="000000"/>
        </w:rPr>
        <w:t xml:space="preserve"> финансирование по научным и (или) научно-техническим проектам МОН РК на 2020-2022 годы</w:t>
      </w:r>
      <w:r w:rsidR="005578CA">
        <w:rPr>
          <w:color w:val="000000"/>
        </w:rPr>
        <w:t xml:space="preserve">». </w:t>
      </w:r>
      <w:r w:rsidR="005578CA" w:rsidRPr="000124F9">
        <w:rPr>
          <w:color w:val="000000"/>
        </w:rPr>
        <w:t xml:space="preserve">Исследование проводит лаборатория </w:t>
      </w:r>
      <w:proofErr w:type="gramStart"/>
      <w:r w:rsidR="005578CA" w:rsidRPr="000124F9">
        <w:rPr>
          <w:color w:val="000000"/>
        </w:rPr>
        <w:t>проточной</w:t>
      </w:r>
      <w:proofErr w:type="gramEnd"/>
      <w:r w:rsidR="005578CA" w:rsidRPr="000124F9">
        <w:rPr>
          <w:color w:val="000000"/>
        </w:rPr>
        <w:t xml:space="preserve"> </w:t>
      </w:r>
      <w:proofErr w:type="spellStart"/>
      <w:r w:rsidR="005578CA" w:rsidRPr="000124F9">
        <w:rPr>
          <w:color w:val="000000"/>
        </w:rPr>
        <w:t>цитометрии</w:t>
      </w:r>
      <w:proofErr w:type="spellEnd"/>
      <w:r w:rsidR="005578CA">
        <w:rPr>
          <w:color w:val="000000"/>
        </w:rPr>
        <w:t>.</w:t>
      </w:r>
    </w:p>
    <w:p w:rsidR="005578CA" w:rsidRPr="001A3604" w:rsidRDefault="005578CA" w:rsidP="007314BC">
      <w:pPr>
        <w:pStyle w:val="aa"/>
        <w:contextualSpacing/>
        <w:jc w:val="both"/>
        <w:rPr>
          <w:color w:val="000000"/>
        </w:rPr>
      </w:pPr>
      <w:r w:rsidRPr="000701B8">
        <w:rPr>
          <w:color w:val="000000"/>
        </w:rPr>
        <w:t>Главный исследователь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Боранбаева</w:t>
      </w:r>
      <w:proofErr w:type="spellEnd"/>
      <w:r>
        <w:rPr>
          <w:color w:val="000000"/>
        </w:rPr>
        <w:t xml:space="preserve"> Р.З.</w:t>
      </w:r>
    </w:p>
    <w:p w:rsidR="005578CA" w:rsidRPr="005C7F2F" w:rsidRDefault="005578CA" w:rsidP="007314BC">
      <w:pPr>
        <w:pStyle w:val="aa"/>
        <w:contextualSpacing/>
        <w:jc w:val="both"/>
        <w:rPr>
          <w:color w:val="000000"/>
        </w:rPr>
      </w:pPr>
      <w:r w:rsidRPr="00503F29">
        <w:rPr>
          <w:color w:val="000000"/>
        </w:rPr>
        <w:t>Соисполнители:</w:t>
      </w:r>
      <w:r w:rsidRPr="00E660D9">
        <w:rPr>
          <w:color w:val="000000"/>
          <w:sz w:val="28"/>
          <w:szCs w:val="28"/>
        </w:rPr>
        <w:t xml:space="preserve"> </w:t>
      </w:r>
      <w:proofErr w:type="spellStart"/>
      <w:r w:rsidR="005C7F2F" w:rsidRPr="005C7F2F">
        <w:rPr>
          <w:color w:val="000000"/>
        </w:rPr>
        <w:t>Булегенова</w:t>
      </w:r>
      <w:proofErr w:type="spellEnd"/>
      <w:r w:rsidR="005C7F2F" w:rsidRPr="005C7F2F">
        <w:rPr>
          <w:color w:val="000000"/>
        </w:rPr>
        <w:t xml:space="preserve"> М.Г., </w:t>
      </w:r>
      <w:proofErr w:type="spellStart"/>
      <w:r w:rsidR="005C7F2F" w:rsidRPr="005C7F2F">
        <w:rPr>
          <w:color w:val="000000"/>
        </w:rPr>
        <w:t>Кустова</w:t>
      </w:r>
      <w:proofErr w:type="spellEnd"/>
      <w:r w:rsidR="005C7F2F" w:rsidRPr="005C7F2F">
        <w:rPr>
          <w:color w:val="000000"/>
        </w:rPr>
        <w:t xml:space="preserve"> Е.А., </w:t>
      </w:r>
      <w:proofErr w:type="spellStart"/>
      <w:r w:rsidR="005C7F2F" w:rsidRPr="005C7F2F">
        <w:rPr>
          <w:color w:val="000000"/>
        </w:rPr>
        <w:t>Уразалиева</w:t>
      </w:r>
      <w:proofErr w:type="spellEnd"/>
      <w:r w:rsidR="005C7F2F" w:rsidRPr="005C7F2F">
        <w:rPr>
          <w:color w:val="000000"/>
        </w:rPr>
        <w:t xml:space="preserve"> Н.Т.</w:t>
      </w:r>
    </w:p>
    <w:p w:rsidR="005578CA" w:rsidRDefault="005578CA" w:rsidP="007314BC">
      <w:pPr>
        <w:pStyle w:val="aa"/>
        <w:contextualSpacing/>
        <w:jc w:val="both"/>
      </w:pPr>
      <w:r w:rsidRPr="000F67F3">
        <w:rPr>
          <w:color w:val="000000"/>
        </w:rPr>
        <w:t>Сроки проведения клинического исследования</w:t>
      </w:r>
      <w:r>
        <w:rPr>
          <w:color w:val="000000"/>
        </w:rPr>
        <w:t xml:space="preserve">: </w:t>
      </w:r>
      <w:r w:rsidRPr="000F67F3">
        <w:t>01.09.2020 –31.08.2021 гг.</w:t>
      </w:r>
    </w:p>
    <w:p w:rsidR="005578CA" w:rsidRDefault="005578CA" w:rsidP="007314BC">
      <w:pPr>
        <w:pStyle w:val="aa"/>
        <w:contextualSpacing/>
        <w:jc w:val="both"/>
        <w:rPr>
          <w:color w:val="000000"/>
        </w:rPr>
      </w:pPr>
      <w:r>
        <w:t xml:space="preserve">Докладчик: </w:t>
      </w:r>
      <w:proofErr w:type="spellStart"/>
      <w:r w:rsidR="005C7F2F">
        <w:rPr>
          <w:color w:val="000000"/>
        </w:rPr>
        <w:t>Кустова</w:t>
      </w:r>
      <w:proofErr w:type="spellEnd"/>
      <w:r w:rsidR="005C7F2F">
        <w:rPr>
          <w:color w:val="000000"/>
        </w:rPr>
        <w:t xml:space="preserve"> Е.А.</w:t>
      </w:r>
    </w:p>
    <w:p w:rsidR="009C2677" w:rsidRDefault="009C2677" w:rsidP="007314BC">
      <w:pPr>
        <w:pStyle w:val="aa"/>
        <w:contextualSpacing/>
        <w:jc w:val="both"/>
        <w:rPr>
          <w:color w:val="000000"/>
          <w:u w:val="single"/>
        </w:rPr>
      </w:pPr>
    </w:p>
    <w:p w:rsidR="0076227D" w:rsidRDefault="00964202" w:rsidP="007314BC">
      <w:pPr>
        <w:pStyle w:val="aa"/>
        <w:contextualSpacing/>
        <w:jc w:val="both"/>
        <w:rPr>
          <w:color w:val="000000"/>
        </w:rPr>
      </w:pPr>
      <w:r w:rsidRPr="00964202">
        <w:rPr>
          <w:color w:val="000000"/>
          <w:u w:val="single"/>
        </w:rPr>
        <w:t>Цель клинического исследования</w:t>
      </w:r>
      <w:r>
        <w:rPr>
          <w:color w:val="000000"/>
          <w:u w:val="single"/>
        </w:rPr>
        <w:t xml:space="preserve">: </w:t>
      </w:r>
      <w:r w:rsidR="00B67F15" w:rsidRPr="00B67F15">
        <w:rPr>
          <w:color w:val="000000"/>
        </w:rPr>
        <w:t>Выявление HLA-DR антигена на поверхности моноцитов у детей и оптимизации диагностики септических состояний с использованием экспрессии HLA-DR антигена на поверхности моноцитов у детей до и после лечения в качестве раннего маркера сепсиса</w:t>
      </w:r>
    </w:p>
    <w:p w:rsidR="0076227D" w:rsidRDefault="000B1FA1" w:rsidP="007314BC">
      <w:pPr>
        <w:pStyle w:val="aa"/>
        <w:contextualSpacing/>
        <w:jc w:val="both"/>
      </w:pPr>
      <w:r w:rsidRPr="000B1FA1">
        <w:rPr>
          <w:u w:val="single"/>
        </w:rPr>
        <w:t>Задачи проекта</w:t>
      </w:r>
      <w:r>
        <w:rPr>
          <w:u w:val="single"/>
        </w:rPr>
        <w:t xml:space="preserve">: </w:t>
      </w:r>
      <w:r w:rsidR="0076227D" w:rsidRPr="0076227D">
        <w:t>1. Определение экспрессии HLA-DR антигенов у детей с септическим состоянием в зависимости от этиологического фактора и клинической картины</w:t>
      </w:r>
    </w:p>
    <w:p w:rsidR="0076227D" w:rsidRPr="0076227D" w:rsidRDefault="0076227D" w:rsidP="007314BC">
      <w:pPr>
        <w:pStyle w:val="aa"/>
        <w:contextualSpacing/>
        <w:jc w:val="both"/>
        <w:rPr>
          <w:color w:val="000000"/>
        </w:rPr>
      </w:pPr>
      <w:r w:rsidRPr="0076227D">
        <w:t xml:space="preserve">2. Выявление возможной корреляционной связи между </w:t>
      </w:r>
      <w:proofErr w:type="spellStart"/>
      <w:r w:rsidRPr="0076227D">
        <w:t>эскпрессией</w:t>
      </w:r>
      <w:proofErr w:type="spellEnd"/>
      <w:r w:rsidRPr="0076227D">
        <w:t xml:space="preserve"> HLA-DR антигенов и уровнем маркеров сепсиса (</w:t>
      </w:r>
      <w:proofErr w:type="spellStart"/>
      <w:r w:rsidRPr="0076227D">
        <w:t>прокальцитонин</w:t>
      </w:r>
      <w:proofErr w:type="spellEnd"/>
      <w:r w:rsidRPr="0076227D">
        <w:t>)</w:t>
      </w:r>
    </w:p>
    <w:p w:rsidR="000B1FA1" w:rsidRDefault="0076227D" w:rsidP="007314BC">
      <w:pPr>
        <w:pStyle w:val="aa"/>
        <w:contextualSpacing/>
        <w:jc w:val="both"/>
      </w:pPr>
      <w:r w:rsidRPr="0076227D">
        <w:t>3. Определение HLA-DR антигенов у детей в процессе терапии с определением их прогностической значимости</w:t>
      </w:r>
    </w:p>
    <w:p w:rsidR="00A91152" w:rsidRDefault="00671D5D" w:rsidP="007314BC">
      <w:pPr>
        <w:pStyle w:val="aa"/>
        <w:contextualSpacing/>
        <w:jc w:val="both"/>
      </w:pPr>
      <w:r w:rsidRPr="00671D5D">
        <w:rPr>
          <w:u w:val="single"/>
        </w:rPr>
        <w:t>Научная новизна</w:t>
      </w:r>
      <w:r>
        <w:rPr>
          <w:u w:val="single"/>
        </w:rPr>
        <w:t xml:space="preserve">: </w:t>
      </w:r>
      <w:r w:rsidR="0061443D" w:rsidRPr="0061443D">
        <w:t>В выявлении экспрессии HLA-DR на поверхности моноцитов, идентифицируемых основным моноцитарным антигеном CD14.</w:t>
      </w:r>
    </w:p>
    <w:p w:rsidR="00B05D03" w:rsidRDefault="00A91152" w:rsidP="007314BC">
      <w:pPr>
        <w:pStyle w:val="aa"/>
        <w:contextualSpacing/>
        <w:jc w:val="both"/>
      </w:pPr>
      <w:r w:rsidRPr="00A91152">
        <w:rPr>
          <w:u w:val="single"/>
        </w:rPr>
        <w:t>Практическая значимость:</w:t>
      </w:r>
      <w:r w:rsidR="0079043D" w:rsidRPr="0079043D">
        <w:rPr>
          <w:sz w:val="28"/>
          <w:szCs w:val="28"/>
        </w:rPr>
        <w:t xml:space="preserve"> </w:t>
      </w:r>
      <w:r w:rsidR="0079043D" w:rsidRPr="0079043D">
        <w:t xml:space="preserve">Исследование позволит определить прогностическую значимость экспрессии HLA-DR </w:t>
      </w:r>
      <w:proofErr w:type="spellStart"/>
      <w:r w:rsidR="0079043D" w:rsidRPr="0079043D">
        <w:t>припостинфекционных</w:t>
      </w:r>
      <w:proofErr w:type="spellEnd"/>
      <w:r w:rsidR="0079043D" w:rsidRPr="0079043D">
        <w:t xml:space="preserve"> осложнениях, что позволит сократить время диагностики септических состояний</w:t>
      </w:r>
    </w:p>
    <w:p w:rsidR="009E70D5" w:rsidRPr="00626C5C" w:rsidRDefault="009E70D5" w:rsidP="007314BC">
      <w:pPr>
        <w:pStyle w:val="aa"/>
        <w:contextualSpacing/>
        <w:jc w:val="both"/>
      </w:pPr>
      <w:r w:rsidRPr="00626C5C">
        <w:rPr>
          <w:u w:val="single"/>
        </w:rPr>
        <w:t>Количество субъектов исследования</w:t>
      </w:r>
      <w:r>
        <w:rPr>
          <w:color w:val="000000"/>
        </w:rPr>
        <w:t xml:space="preserve">: </w:t>
      </w:r>
      <w:r w:rsidRPr="00014764">
        <w:rPr>
          <w:color w:val="000000"/>
        </w:rPr>
        <w:t>пациентов-участников исследования: 70</w:t>
      </w:r>
    </w:p>
    <w:p w:rsidR="009E70D5" w:rsidRDefault="009E70D5" w:rsidP="007314BC">
      <w:pPr>
        <w:pStyle w:val="aa"/>
        <w:contextualSpacing/>
        <w:jc w:val="both"/>
        <w:rPr>
          <w:color w:val="000000"/>
        </w:rPr>
      </w:pPr>
      <w:r w:rsidRPr="00014764">
        <w:rPr>
          <w:color w:val="000000"/>
        </w:rPr>
        <w:t>Возрастной диапазон участников — дети от 0 до 18 лет. Пациенты детского возраста, находящиеся на стационарном лечении в АО НЦПДХ</w:t>
      </w:r>
      <w:r>
        <w:rPr>
          <w:color w:val="000000"/>
        </w:rPr>
        <w:t>.</w:t>
      </w:r>
    </w:p>
    <w:p w:rsidR="009E70D5" w:rsidRPr="00ED05E3" w:rsidRDefault="009E70D5" w:rsidP="007314BC">
      <w:pPr>
        <w:pStyle w:val="aa"/>
        <w:contextualSpacing/>
        <w:jc w:val="both"/>
        <w:rPr>
          <w:color w:val="000000"/>
          <w:u w:val="single"/>
        </w:rPr>
      </w:pPr>
      <w:r w:rsidRPr="00C752CE">
        <w:rPr>
          <w:color w:val="000000"/>
          <w:u w:val="single"/>
        </w:rPr>
        <w:t>Анализ и мониторинг данных</w:t>
      </w:r>
      <w:r>
        <w:rPr>
          <w:color w:val="000000"/>
          <w:u w:val="single"/>
        </w:rPr>
        <w:t>:</w:t>
      </w:r>
      <w:r w:rsidR="00ED05E3" w:rsidRPr="00ED05E3">
        <w:rPr>
          <w:sz w:val="28"/>
          <w:szCs w:val="28"/>
        </w:rPr>
        <w:t xml:space="preserve"> </w:t>
      </w:r>
      <w:r w:rsidR="00ED05E3" w:rsidRPr="00ED05E3">
        <w:t xml:space="preserve">Организационно-правовое обеспечение. При выполнении Проекта планируется использование стандартизированных клинико-лабораторных, </w:t>
      </w:r>
      <w:proofErr w:type="spellStart"/>
      <w:r w:rsidR="00ED05E3" w:rsidRPr="00ED05E3">
        <w:t>иммуннологических</w:t>
      </w:r>
      <w:proofErr w:type="spellEnd"/>
      <w:r w:rsidR="00ED05E3" w:rsidRPr="00ED05E3">
        <w:t>, иммуноферментных методик, а также современных статистических методов с учетом требований доказательной медицины как по дизайну исследования, объему и качеству отобранного материала, так и по адекватности применения методов статистического анализа. Планируемая в использовании гематологическая, биохимическая, иммунологическая аппаратура лаборатории прошла метрологический контроль</w:t>
      </w:r>
      <w:r w:rsidR="00ED05E3">
        <w:t>.</w:t>
      </w:r>
    </w:p>
    <w:p w:rsidR="00BD35BE" w:rsidRDefault="009715ED" w:rsidP="00BD3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Вопрос. </w:t>
      </w:r>
      <w:r>
        <w:rPr>
          <w:rFonts w:ascii="Times New Roman" w:hAnsi="Times New Roman" w:cs="Times New Roman"/>
          <w:sz w:val="24"/>
          <w:szCs w:val="24"/>
        </w:rPr>
        <w:t>Назарова А.З</w:t>
      </w:r>
      <w:r w:rsidR="00BD35BE">
        <w:rPr>
          <w:rFonts w:ascii="Times New Roman" w:hAnsi="Times New Roman" w:cs="Times New Roman"/>
          <w:sz w:val="24"/>
          <w:szCs w:val="24"/>
        </w:rPr>
        <w:t>.</w:t>
      </w:r>
      <w:r w:rsidR="00BD35BE">
        <w:rPr>
          <w:rFonts w:ascii="Times New Roman" w:hAnsi="Times New Roman" w:cs="Times New Roman"/>
          <w:sz w:val="24"/>
          <w:szCs w:val="24"/>
        </w:rPr>
        <w:t xml:space="preserve">: </w:t>
      </w:r>
      <w:r w:rsidR="00BD35BE" w:rsidRPr="00014764">
        <w:rPr>
          <w:rFonts w:ascii="Times New Roman" w:hAnsi="Times New Roman" w:cs="Times New Roman"/>
          <w:color w:val="000000"/>
          <w:sz w:val="24"/>
          <w:szCs w:val="24"/>
        </w:rPr>
        <w:t>Степень риска</w:t>
      </w:r>
      <w:r w:rsidR="00BD35B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BD35BE" w:rsidRPr="00014764">
        <w:rPr>
          <w:rFonts w:ascii="Times New Roman" w:hAnsi="Times New Roman" w:cs="Times New Roman"/>
          <w:color w:val="000000"/>
          <w:sz w:val="24"/>
          <w:szCs w:val="24"/>
        </w:rPr>
        <w:t>Защита от риска</w:t>
      </w:r>
      <w:r w:rsidR="00BD35B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BD35BE" w:rsidRPr="00014764">
        <w:rPr>
          <w:rFonts w:ascii="Times New Roman" w:hAnsi="Times New Roman" w:cs="Times New Roman"/>
          <w:color w:val="000000"/>
          <w:sz w:val="24"/>
          <w:szCs w:val="24"/>
        </w:rPr>
        <w:t>Потенциальная польза для участника</w:t>
      </w:r>
      <w:r w:rsidR="00BD35B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BD35BE" w:rsidRDefault="00BD35BE" w:rsidP="00BD35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14764">
        <w:rPr>
          <w:rFonts w:ascii="Times New Roman" w:hAnsi="Times New Roman" w:cs="Times New Roman"/>
          <w:sz w:val="24"/>
          <w:szCs w:val="24"/>
        </w:rPr>
        <w:t>Степень риска минимальная, так как вероятность и магнитуда вреда или дискомфорта, ожидаемая в исследовании не больше, чем обычно встречается в повседневной жизни или во время получения рутинных физических или психологических тестов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62BF">
        <w:rPr>
          <w:rFonts w:ascii="Times New Roman" w:hAnsi="Times New Roman" w:cs="Times New Roman"/>
          <w:sz w:val="24"/>
          <w:szCs w:val="24"/>
        </w:rPr>
        <w:t xml:space="preserve"> </w:t>
      </w:r>
      <w:r w:rsidRPr="00014764">
        <w:rPr>
          <w:rFonts w:ascii="Times New Roman" w:hAnsi="Times New Roman" w:cs="Times New Roman"/>
          <w:sz w:val="24"/>
          <w:szCs w:val="24"/>
        </w:rPr>
        <w:t xml:space="preserve">Потенциальный риск или дискомфорт будет минимизирован насколько это возможно путем использования таких процедур, как обучение персонала, мониторинг, исключение участника после получения доказательств негативных реакций или побочных </w:t>
      </w:r>
      <w:r w:rsidRPr="00014764">
        <w:rPr>
          <w:rFonts w:ascii="Times New Roman" w:hAnsi="Times New Roman" w:cs="Times New Roman"/>
          <w:sz w:val="24"/>
          <w:szCs w:val="24"/>
        </w:rPr>
        <w:lastRenderedPageBreak/>
        <w:t>явлений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62BF">
        <w:rPr>
          <w:rFonts w:ascii="Times New Roman" w:hAnsi="Times New Roman" w:cs="Times New Roman"/>
          <w:sz w:val="24"/>
          <w:szCs w:val="24"/>
        </w:rPr>
        <w:t xml:space="preserve"> </w:t>
      </w:r>
      <w:r w:rsidRPr="00014764">
        <w:rPr>
          <w:rFonts w:ascii="Times New Roman" w:hAnsi="Times New Roman" w:cs="Times New Roman"/>
          <w:sz w:val="24"/>
          <w:szCs w:val="24"/>
        </w:rPr>
        <w:t xml:space="preserve">Ожидаемая польза для участника — планируемое внедрение комплексной панели </w:t>
      </w:r>
      <w:proofErr w:type="spellStart"/>
      <w:r w:rsidRPr="00014764">
        <w:rPr>
          <w:rFonts w:ascii="Times New Roman" w:hAnsi="Times New Roman" w:cs="Times New Roman"/>
          <w:sz w:val="24"/>
          <w:szCs w:val="24"/>
        </w:rPr>
        <w:t>иммунофенотипических</w:t>
      </w:r>
      <w:proofErr w:type="spellEnd"/>
      <w:r w:rsidRPr="00014764">
        <w:rPr>
          <w:rFonts w:ascii="Times New Roman" w:hAnsi="Times New Roman" w:cs="Times New Roman"/>
          <w:sz w:val="24"/>
          <w:szCs w:val="24"/>
        </w:rPr>
        <w:t xml:space="preserve"> маркеров позволит прогнозировать течение заболевания и, таким образом, оптимизировать терапию</w:t>
      </w:r>
    </w:p>
    <w:p w:rsidR="009F7AC1" w:rsidRDefault="00BD35BE" w:rsidP="00BD35B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7AC1" w:rsidRDefault="009F7AC1" w:rsidP="00664F8F">
      <w:pPr>
        <w:tabs>
          <w:tab w:val="left" w:pos="1785"/>
        </w:tabs>
        <w:spacing w:line="276" w:lineRule="auto"/>
        <w:contextualSpacing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35BE">
        <w:rPr>
          <w:rFonts w:ascii="Times New Roman" w:hAnsi="Times New Roman" w:cs="Times New Roman"/>
          <w:sz w:val="24"/>
          <w:szCs w:val="24"/>
        </w:rPr>
        <w:t xml:space="preserve">Вопрос. </w:t>
      </w:r>
      <w:proofErr w:type="spellStart"/>
      <w:r w:rsidR="00664F8F"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 w:rsidR="00664F8F">
        <w:rPr>
          <w:rFonts w:ascii="Times New Roman" w:hAnsi="Times New Roman" w:cs="Times New Roman"/>
          <w:sz w:val="24"/>
          <w:szCs w:val="24"/>
        </w:rPr>
        <w:t xml:space="preserve"> А.К.</w:t>
      </w:r>
      <w:r w:rsidR="00664F8F">
        <w:rPr>
          <w:rFonts w:ascii="Times New Roman" w:hAnsi="Times New Roman" w:cs="Times New Roman"/>
          <w:sz w:val="24"/>
          <w:szCs w:val="24"/>
        </w:rPr>
        <w:t xml:space="preserve"> </w:t>
      </w:r>
      <w:r w:rsidR="00BD35BE" w:rsidRPr="0001476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Информационное сог</w:t>
      </w:r>
      <w:r w:rsidR="00BD35B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ласие на участие в исследовании?</w:t>
      </w:r>
    </w:p>
    <w:p w:rsidR="009F7AC1" w:rsidRDefault="009F7AC1" w:rsidP="009F7A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</w:p>
    <w:p w:rsidR="00BD35BE" w:rsidRPr="009F7AC1" w:rsidRDefault="009F7AC1" w:rsidP="009F7A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 </w:t>
      </w:r>
      <w:r w:rsidR="00BD35B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Ответ:</w:t>
      </w:r>
      <w:r w:rsidR="00BD35BE" w:rsidRPr="009B34B7">
        <w:rPr>
          <w:rFonts w:ascii="Times New Roman" w:hAnsi="Times New Roman" w:cs="Times New Roman"/>
          <w:sz w:val="24"/>
          <w:szCs w:val="24"/>
        </w:rPr>
        <w:t xml:space="preserve"> </w:t>
      </w:r>
      <w:r w:rsidR="00BD35BE" w:rsidRPr="00014764">
        <w:rPr>
          <w:rFonts w:ascii="Times New Roman" w:hAnsi="Times New Roman" w:cs="Times New Roman"/>
          <w:sz w:val="24"/>
          <w:szCs w:val="24"/>
        </w:rPr>
        <w:t>Забор биоматериала будет проводиться у больных с их информированного согласия в рамках Проекта.</w:t>
      </w:r>
      <w:r w:rsidR="00BD35BE">
        <w:rPr>
          <w:rFonts w:ascii="Times New Roman" w:hAnsi="Times New Roman" w:cs="Times New Roman"/>
          <w:sz w:val="24"/>
          <w:szCs w:val="24"/>
        </w:rPr>
        <w:t xml:space="preserve"> </w:t>
      </w:r>
      <w:r w:rsidR="00BD35BE" w:rsidRPr="00014764">
        <w:rPr>
          <w:rFonts w:ascii="Times New Roman" w:hAnsi="Times New Roman" w:cs="Times New Roman"/>
          <w:sz w:val="24"/>
          <w:szCs w:val="24"/>
        </w:rPr>
        <w:t>Письменное информированное согласие  пациентов исследования без любых элементов принуждения или насилия по утвержденной форме ЛЭК включены (разрешение родителей ребенка либо законного представителя)</w:t>
      </w:r>
      <w:r w:rsidR="00BD35BE">
        <w:rPr>
          <w:rFonts w:ascii="Times New Roman" w:hAnsi="Times New Roman" w:cs="Times New Roman"/>
          <w:sz w:val="24"/>
          <w:szCs w:val="24"/>
        </w:rPr>
        <w:t>.</w:t>
      </w:r>
    </w:p>
    <w:p w:rsidR="00BD35BE" w:rsidRDefault="00BD35BE" w:rsidP="00BD35B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42" w:right="-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 </w:t>
      </w:r>
    </w:p>
    <w:p w:rsidR="00BD35BE" w:rsidRDefault="00B70792" w:rsidP="00BD35B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BD35BE" w:rsidRPr="00014764">
        <w:rPr>
          <w:rFonts w:ascii="Times New Roman" w:hAnsi="Times New Roman" w:cs="Times New Roman"/>
          <w:sz w:val="24"/>
          <w:szCs w:val="24"/>
        </w:rPr>
        <w:t>Ответственный исполнитель несет ответственность за получение и документирование ИС от всех субъектов. Данные будут надежно храниться на защищенном паролем ПК PI в НЦПДХ в зашифрованном файле</w:t>
      </w:r>
    </w:p>
    <w:p w:rsidR="00BD35BE" w:rsidRPr="009B34B7" w:rsidRDefault="00BD35BE" w:rsidP="00BD35B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014764">
        <w:rPr>
          <w:rFonts w:ascii="Times New Roman" w:hAnsi="Times New Roman" w:cs="Times New Roman"/>
          <w:sz w:val="24"/>
          <w:szCs w:val="24"/>
        </w:rPr>
        <w:t>Процедуры, проводимые в исследованиях с участием детей – участников, соответствуют принципам гуманизма и этическим стандартам институционального исследовательского комитета, а также Хельсинской декларации, определенными международными и национальными нормативными и правовыми актами,  руководствами для исследований с участием человека в качестве испытуемого</w:t>
      </w:r>
    </w:p>
    <w:p w:rsidR="0076227D" w:rsidRPr="00964202" w:rsidRDefault="0076227D" w:rsidP="007314BC">
      <w:pPr>
        <w:tabs>
          <w:tab w:val="left" w:pos="1785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064B" w:rsidRPr="00553EEF" w:rsidRDefault="0003064B" w:rsidP="005E7060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Pr="00030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одобрено, единогласно</w:t>
      </w:r>
    </w:p>
    <w:p w:rsidR="00553EEF" w:rsidRDefault="00553EEF" w:rsidP="005E7060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053A" w:rsidRDefault="0017053A" w:rsidP="0019185F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4423" w:rsidRDefault="00094423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4423" w:rsidRDefault="00094423" w:rsidP="00094423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члены ЛЭК и приглашенные:</w:t>
      </w:r>
    </w:p>
    <w:p w:rsidR="00094423" w:rsidRDefault="00094423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Сулейманова С.Б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Бишманов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Мусабалина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Ахпаров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Назарова А.З. 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Куракбаев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Акшалова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  <w:r w:rsidR="00672B15">
        <w:rPr>
          <w:rFonts w:ascii="Times New Roman" w:hAnsi="Times New Roman" w:cs="Times New Roman"/>
          <w:sz w:val="24"/>
          <w:szCs w:val="24"/>
        </w:rPr>
        <w:t>.</w:t>
      </w:r>
    </w:p>
    <w:p w:rsidR="00672B15" w:rsidRDefault="00672B15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8565CE" w:rsidRDefault="00EF3F1A" w:rsidP="008565CE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D5AFF">
        <w:rPr>
          <w:rFonts w:ascii="Times New Roman" w:hAnsi="Times New Roman" w:cs="Times New Roman"/>
          <w:sz w:val="24"/>
          <w:szCs w:val="24"/>
        </w:rPr>
        <w:t>Мынжасар</w:t>
      </w:r>
      <w:proofErr w:type="spellEnd"/>
      <w:r w:rsidRPr="00DD5AFF">
        <w:rPr>
          <w:rFonts w:ascii="Times New Roman" w:hAnsi="Times New Roman" w:cs="Times New Roman"/>
          <w:sz w:val="24"/>
          <w:szCs w:val="24"/>
        </w:rPr>
        <w:t xml:space="preserve"> Д. </w:t>
      </w:r>
    </w:p>
    <w:p w:rsidR="00672B15" w:rsidRDefault="00672B15" w:rsidP="008565CE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33D5" w:rsidRPr="008565CE" w:rsidRDefault="008565CE" w:rsidP="008565CE">
      <w:pPr>
        <w:tabs>
          <w:tab w:val="left" w:pos="17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</w:t>
      </w:r>
      <w:r w:rsidR="00EF3F1A">
        <w:rPr>
          <w:rFonts w:ascii="Times New Roman" w:hAnsi="Times New Roman" w:cs="Times New Roman"/>
          <w:sz w:val="24"/>
          <w:szCs w:val="24"/>
        </w:rPr>
        <w:t>атель заседания: Сулейманова С.Б.</w:t>
      </w:r>
    </w:p>
    <w:sectPr w:rsidR="003033D5" w:rsidRPr="008565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3F" w:rsidRDefault="00D0043F" w:rsidP="00FA0924">
      <w:pPr>
        <w:spacing w:after="0" w:line="240" w:lineRule="auto"/>
      </w:pPr>
      <w:r>
        <w:separator/>
      </w:r>
    </w:p>
  </w:endnote>
  <w:endnote w:type="continuationSeparator" w:id="0">
    <w:p w:rsidR="00D0043F" w:rsidRDefault="00D0043F" w:rsidP="00FA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3F" w:rsidRDefault="00D0043F" w:rsidP="00FA0924">
      <w:pPr>
        <w:spacing w:after="0" w:line="240" w:lineRule="auto"/>
      </w:pPr>
      <w:r>
        <w:separator/>
      </w:r>
    </w:p>
  </w:footnote>
  <w:footnote w:type="continuationSeparator" w:id="0">
    <w:p w:rsidR="00D0043F" w:rsidRDefault="00D0043F" w:rsidP="00FA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24" w:rsidRDefault="00FA0924">
    <w:pPr>
      <w:pStyle w:val="a3"/>
    </w:pPr>
    <w:r>
      <w:t xml:space="preserve">                              </w:t>
    </w:r>
    <w:r w:rsidRPr="0044594B">
      <w:rPr>
        <w:noProof/>
        <w:lang w:eastAsia="ru-RU"/>
      </w:rPr>
      <w:drawing>
        <wp:inline distT="0" distB="0" distL="0" distR="0" wp14:anchorId="569E08B3" wp14:editId="07C0A1C2">
          <wp:extent cx="3600450" cy="885825"/>
          <wp:effectExtent l="0" t="0" r="0" b="9525"/>
          <wp:docPr id="2" name="Рисунок 2" descr="Описание: C:\Users\001\Downloads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Users\001\Downloads\Логот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B75"/>
    <w:multiLevelType w:val="hybridMultilevel"/>
    <w:tmpl w:val="4E2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1A7E"/>
    <w:multiLevelType w:val="hybridMultilevel"/>
    <w:tmpl w:val="6B64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DAE"/>
    <w:multiLevelType w:val="hybridMultilevel"/>
    <w:tmpl w:val="D01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364"/>
    <w:multiLevelType w:val="hybridMultilevel"/>
    <w:tmpl w:val="0714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C2BE6"/>
    <w:multiLevelType w:val="hybridMultilevel"/>
    <w:tmpl w:val="9860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0CAD"/>
    <w:multiLevelType w:val="hybridMultilevel"/>
    <w:tmpl w:val="BB6E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2376D"/>
    <w:multiLevelType w:val="hybridMultilevel"/>
    <w:tmpl w:val="F230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F0246"/>
    <w:multiLevelType w:val="hybridMultilevel"/>
    <w:tmpl w:val="4190ACCA"/>
    <w:lvl w:ilvl="0" w:tplc="6494E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502E7"/>
    <w:multiLevelType w:val="hybridMultilevel"/>
    <w:tmpl w:val="74C6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A"/>
    <w:rsid w:val="000124F9"/>
    <w:rsid w:val="00014764"/>
    <w:rsid w:val="0003064B"/>
    <w:rsid w:val="000701B8"/>
    <w:rsid w:val="00083C48"/>
    <w:rsid w:val="00094423"/>
    <w:rsid w:val="000B1FA1"/>
    <w:rsid w:val="000F67F3"/>
    <w:rsid w:val="00115C63"/>
    <w:rsid w:val="00122C77"/>
    <w:rsid w:val="001233DD"/>
    <w:rsid w:val="00141FFD"/>
    <w:rsid w:val="0017053A"/>
    <w:rsid w:val="0019185F"/>
    <w:rsid w:val="001A3604"/>
    <w:rsid w:val="001C274A"/>
    <w:rsid w:val="00264998"/>
    <w:rsid w:val="00291A39"/>
    <w:rsid w:val="002928ED"/>
    <w:rsid w:val="002A3D46"/>
    <w:rsid w:val="002D0564"/>
    <w:rsid w:val="002D1032"/>
    <w:rsid w:val="003033D5"/>
    <w:rsid w:val="00421ACE"/>
    <w:rsid w:val="00432917"/>
    <w:rsid w:val="00446DCE"/>
    <w:rsid w:val="00464D50"/>
    <w:rsid w:val="004D13BC"/>
    <w:rsid w:val="004D56CA"/>
    <w:rsid w:val="00503F29"/>
    <w:rsid w:val="0054756D"/>
    <w:rsid w:val="00553EEF"/>
    <w:rsid w:val="005578CA"/>
    <w:rsid w:val="005916A1"/>
    <w:rsid w:val="005B3A8F"/>
    <w:rsid w:val="005C7F2F"/>
    <w:rsid w:val="005E6A7E"/>
    <w:rsid w:val="005E7060"/>
    <w:rsid w:val="005F2359"/>
    <w:rsid w:val="0061443D"/>
    <w:rsid w:val="00626C5C"/>
    <w:rsid w:val="00647545"/>
    <w:rsid w:val="00664F8F"/>
    <w:rsid w:val="00671D5D"/>
    <w:rsid w:val="00672B15"/>
    <w:rsid w:val="007249FB"/>
    <w:rsid w:val="007314BC"/>
    <w:rsid w:val="007442FD"/>
    <w:rsid w:val="0076227D"/>
    <w:rsid w:val="007656A6"/>
    <w:rsid w:val="0079043D"/>
    <w:rsid w:val="007D21F3"/>
    <w:rsid w:val="007E5176"/>
    <w:rsid w:val="008565CE"/>
    <w:rsid w:val="00944668"/>
    <w:rsid w:val="00964202"/>
    <w:rsid w:val="009715ED"/>
    <w:rsid w:val="009A62BF"/>
    <w:rsid w:val="009B089E"/>
    <w:rsid w:val="009B15D9"/>
    <w:rsid w:val="009B34B7"/>
    <w:rsid w:val="009C0C3D"/>
    <w:rsid w:val="009C2677"/>
    <w:rsid w:val="009D3CB7"/>
    <w:rsid w:val="009E6EF2"/>
    <w:rsid w:val="009E70D5"/>
    <w:rsid w:val="009F7AC1"/>
    <w:rsid w:val="00A257E2"/>
    <w:rsid w:val="00A91152"/>
    <w:rsid w:val="00B05D03"/>
    <w:rsid w:val="00B157B6"/>
    <w:rsid w:val="00B16554"/>
    <w:rsid w:val="00B67F15"/>
    <w:rsid w:val="00B70792"/>
    <w:rsid w:val="00B76A3D"/>
    <w:rsid w:val="00BD35BE"/>
    <w:rsid w:val="00BE26A5"/>
    <w:rsid w:val="00C02AA7"/>
    <w:rsid w:val="00C560C3"/>
    <w:rsid w:val="00C752CE"/>
    <w:rsid w:val="00CC1D81"/>
    <w:rsid w:val="00CE0EFC"/>
    <w:rsid w:val="00D0043F"/>
    <w:rsid w:val="00D02B2F"/>
    <w:rsid w:val="00D23C9E"/>
    <w:rsid w:val="00D33A47"/>
    <w:rsid w:val="00DE01E2"/>
    <w:rsid w:val="00E140CC"/>
    <w:rsid w:val="00E24DB3"/>
    <w:rsid w:val="00E660D9"/>
    <w:rsid w:val="00E9344B"/>
    <w:rsid w:val="00E95F5A"/>
    <w:rsid w:val="00EA1DD4"/>
    <w:rsid w:val="00ED05E3"/>
    <w:rsid w:val="00EF3F1A"/>
    <w:rsid w:val="00F311B7"/>
    <w:rsid w:val="00F4081B"/>
    <w:rsid w:val="00FA0924"/>
    <w:rsid w:val="00FC2EEF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1B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1B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Suleimanova</dc:creator>
  <cp:lastModifiedBy>Hirurgia_PC3</cp:lastModifiedBy>
  <cp:revision>83</cp:revision>
  <dcterms:created xsi:type="dcterms:W3CDTF">2020-06-26T07:22:00Z</dcterms:created>
  <dcterms:modified xsi:type="dcterms:W3CDTF">2020-06-26T09:11:00Z</dcterms:modified>
</cp:coreProperties>
</file>